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436A6" w14:textId="72C59421" w:rsidR="00936876" w:rsidRDefault="00936876" w:rsidP="00936876">
      <w:pPr>
        <w:autoSpaceDE w:val="0"/>
        <w:autoSpaceDN w:val="0"/>
        <w:adjustRightInd w:val="0"/>
        <w:spacing w:after="0" w:line="360" w:lineRule="auto"/>
        <w:rPr>
          <w:rFonts w:ascii="Times New Roman" w:eastAsiaTheme="majorEastAsia" w:hAnsi="Times New Roman"/>
          <w:b/>
          <w:bCs/>
          <w:kern w:val="36"/>
          <w:sz w:val="24"/>
          <w:szCs w:val="48"/>
          <w:lang w:eastAsia="en-GB"/>
        </w:rPr>
      </w:pPr>
      <w:bookmarkStart w:id="0" w:name="_Hlk45681955"/>
      <w:r w:rsidRPr="00417A14">
        <w:rPr>
          <w:rFonts w:ascii="Times New Roman" w:eastAsiaTheme="majorEastAsia" w:hAnsi="Times New Roman"/>
          <w:b/>
          <w:bCs/>
          <w:kern w:val="36"/>
          <w:sz w:val="24"/>
          <w:szCs w:val="48"/>
          <w:lang w:eastAsia="en-GB"/>
        </w:rPr>
        <w:t>Cowpea (</w:t>
      </w:r>
      <w:r w:rsidRPr="00417A14">
        <w:rPr>
          <w:rFonts w:ascii="Times New Roman" w:eastAsiaTheme="majorEastAsia" w:hAnsi="Times New Roman"/>
          <w:b/>
          <w:bCs/>
          <w:i/>
          <w:iCs/>
          <w:kern w:val="36"/>
          <w:sz w:val="24"/>
          <w:szCs w:val="48"/>
          <w:lang w:eastAsia="en-GB"/>
        </w:rPr>
        <w:t>Vigna unguiculata</w:t>
      </w:r>
      <w:r w:rsidRPr="00417A14">
        <w:rPr>
          <w:rFonts w:ascii="Times New Roman" w:eastAsiaTheme="majorEastAsia" w:hAnsi="Times New Roman"/>
          <w:b/>
          <w:bCs/>
          <w:kern w:val="36"/>
          <w:sz w:val="24"/>
          <w:szCs w:val="48"/>
          <w:lang w:eastAsia="en-GB"/>
        </w:rPr>
        <w:t xml:space="preserve"> [L] </w:t>
      </w:r>
      <w:proofErr w:type="spellStart"/>
      <w:r w:rsidRPr="00417A14">
        <w:rPr>
          <w:rFonts w:ascii="Times New Roman" w:eastAsiaTheme="majorEastAsia" w:hAnsi="Times New Roman"/>
          <w:b/>
          <w:bCs/>
          <w:kern w:val="36"/>
          <w:sz w:val="24"/>
          <w:szCs w:val="48"/>
          <w:lang w:eastAsia="en-GB"/>
        </w:rPr>
        <w:t>Walp</w:t>
      </w:r>
      <w:proofErr w:type="spellEnd"/>
      <w:r w:rsidRPr="00417A14">
        <w:rPr>
          <w:rFonts w:ascii="Times New Roman" w:eastAsiaTheme="majorEastAsia" w:hAnsi="Times New Roman"/>
          <w:b/>
          <w:bCs/>
          <w:kern w:val="36"/>
          <w:sz w:val="24"/>
          <w:szCs w:val="48"/>
          <w:lang w:eastAsia="en-GB"/>
        </w:rPr>
        <w:t>) response to the application of NPK fertilizer in a Ferric Luvisol</w:t>
      </w:r>
    </w:p>
    <w:p w14:paraId="45AD2738" w14:textId="77777777" w:rsidR="004A25C4" w:rsidRPr="008F6E33" w:rsidRDefault="004A25C4" w:rsidP="004A25C4">
      <w:pPr>
        <w:rPr>
          <w:rFonts w:ascii="Times New Roman" w:eastAsia="Times New Roman" w:hAnsi="Times New Roman"/>
          <w:sz w:val="24"/>
          <w:szCs w:val="24"/>
          <w:vertAlign w:val="superscript"/>
          <w:lang w:val="en-GB" w:eastAsia="en-GB"/>
        </w:rPr>
      </w:pPr>
      <w:r w:rsidRPr="00877D4A">
        <w:rPr>
          <w:rFonts w:ascii="Times New Roman" w:eastAsia="Times New Roman" w:hAnsi="Times New Roman"/>
          <w:sz w:val="24"/>
          <w:szCs w:val="24"/>
        </w:rPr>
        <w:t>Obianuju Chiamaka Emmanuel</w:t>
      </w:r>
      <w:r w:rsidRPr="00877D4A">
        <w:rPr>
          <w:rFonts w:ascii="Times New Roman" w:eastAsia="Times New Roman" w:hAnsi="Times New Roman"/>
          <w:sz w:val="24"/>
          <w:szCs w:val="24"/>
          <w:vertAlign w:val="superscript"/>
        </w:rPr>
        <w:t>1</w:t>
      </w:r>
      <w:r>
        <w:rPr>
          <w:rFonts w:ascii="Times New Roman" w:eastAsia="Times New Roman" w:hAnsi="Times New Roman"/>
          <w:sz w:val="24"/>
          <w:szCs w:val="24"/>
          <w:vertAlign w:val="superscript"/>
        </w:rPr>
        <w:t>*</w:t>
      </w:r>
      <w:r w:rsidRPr="00877D4A">
        <w:rPr>
          <w:rFonts w:ascii="Times New Roman" w:eastAsia="Times New Roman" w:hAnsi="Times New Roman"/>
          <w:sz w:val="24"/>
          <w:szCs w:val="24"/>
        </w:rPr>
        <w:t xml:space="preserve">, </w:t>
      </w:r>
      <w:proofErr w:type="spellStart"/>
      <w:r w:rsidRPr="00877D4A">
        <w:rPr>
          <w:rFonts w:ascii="Times New Roman" w:eastAsia="Times New Roman" w:hAnsi="Times New Roman"/>
          <w:sz w:val="24"/>
          <w:szCs w:val="24"/>
        </w:rPr>
        <w:t>Olayiwola</w:t>
      </w:r>
      <w:proofErr w:type="spellEnd"/>
      <w:r w:rsidRPr="00877D4A">
        <w:rPr>
          <w:rFonts w:ascii="Times New Roman" w:eastAsia="Times New Roman" w:hAnsi="Times New Roman"/>
          <w:sz w:val="24"/>
          <w:szCs w:val="24"/>
        </w:rPr>
        <w:t xml:space="preserve"> Akin Akintola</w:t>
      </w:r>
      <w:r w:rsidRPr="006B34ED">
        <w:rPr>
          <w:rFonts w:ascii="Times New Roman" w:eastAsia="Times New Roman" w:hAnsi="Times New Roman"/>
          <w:sz w:val="24"/>
          <w:szCs w:val="24"/>
          <w:vertAlign w:val="superscript"/>
        </w:rPr>
        <w:t>1</w:t>
      </w:r>
      <w:r w:rsidRPr="00877D4A">
        <w:rPr>
          <w:rFonts w:ascii="Times New Roman" w:eastAsia="Times New Roman" w:hAnsi="Times New Roman"/>
          <w:sz w:val="24"/>
          <w:szCs w:val="24"/>
        </w:rPr>
        <w:t>,</w:t>
      </w:r>
      <w:r w:rsidRPr="008F6E33">
        <w:rPr>
          <w:rFonts w:ascii="Times New Roman" w:eastAsia="Times New Roman" w:hAnsi="Times New Roman"/>
          <w:sz w:val="24"/>
          <w:szCs w:val="24"/>
          <w:lang w:val="en-GB" w:eastAsia="en-GB"/>
        </w:rPr>
        <w:t xml:space="preserve"> Dorcas </w:t>
      </w:r>
      <w:proofErr w:type="spellStart"/>
      <w:r w:rsidRPr="008F6E33">
        <w:rPr>
          <w:rFonts w:ascii="Times New Roman" w:eastAsia="Times New Roman" w:hAnsi="Times New Roman"/>
          <w:sz w:val="24"/>
          <w:szCs w:val="24"/>
          <w:lang w:val="en-GB" w:eastAsia="en-GB"/>
        </w:rPr>
        <w:t>Tinuke</w:t>
      </w:r>
      <w:proofErr w:type="spellEnd"/>
      <w:r w:rsidRPr="008F6E33">
        <w:rPr>
          <w:rFonts w:ascii="Times New Roman" w:eastAsia="Times New Roman" w:hAnsi="Times New Roman"/>
          <w:sz w:val="24"/>
          <w:szCs w:val="24"/>
          <w:lang w:val="en-GB" w:eastAsia="en-GB"/>
        </w:rPr>
        <w:t xml:space="preserve"> Ezekiel-Adewoyin</w:t>
      </w:r>
      <w:r>
        <w:rPr>
          <w:rFonts w:ascii="Times New Roman" w:eastAsia="Times New Roman" w:hAnsi="Times New Roman"/>
          <w:sz w:val="24"/>
          <w:szCs w:val="24"/>
          <w:vertAlign w:val="superscript"/>
          <w:lang w:val="en-GB" w:eastAsia="en-GB"/>
        </w:rPr>
        <w:t>2</w:t>
      </w:r>
      <w:r>
        <w:rPr>
          <w:rFonts w:ascii="Times New Roman" w:eastAsia="Times New Roman" w:hAnsi="Times New Roman"/>
          <w:sz w:val="24"/>
          <w:szCs w:val="24"/>
          <w:lang w:val="en-GB" w:eastAsia="en-GB"/>
        </w:rPr>
        <w:t>,</w:t>
      </w:r>
      <w:r>
        <w:rPr>
          <w:rFonts w:ascii="Times New Roman" w:eastAsia="Times New Roman" w:hAnsi="Times New Roman"/>
          <w:sz w:val="24"/>
          <w:szCs w:val="24"/>
          <w:vertAlign w:val="superscript"/>
          <w:lang w:val="en-GB" w:eastAsia="en-GB"/>
        </w:rPr>
        <w:t xml:space="preserve"> </w:t>
      </w:r>
      <w:r w:rsidRPr="00877D4A">
        <w:rPr>
          <w:rFonts w:ascii="Times New Roman" w:eastAsia="Times New Roman" w:hAnsi="Times New Roman"/>
          <w:sz w:val="24"/>
          <w:szCs w:val="24"/>
        </w:rPr>
        <w:t>Francis</w:t>
      </w:r>
      <w:r w:rsidRPr="00877D4A">
        <w:rPr>
          <w:rFonts w:ascii="Times New Roman" w:hAnsi="Times New Roman"/>
          <w:sz w:val="24"/>
          <w:szCs w:val="24"/>
        </w:rPr>
        <w:t xml:space="preserve"> </w:t>
      </w:r>
      <w:proofErr w:type="spellStart"/>
      <w:r w:rsidRPr="00877D4A">
        <w:rPr>
          <w:rFonts w:ascii="Times New Roman" w:hAnsi="Times New Roman"/>
          <w:sz w:val="24"/>
          <w:szCs w:val="24"/>
        </w:rPr>
        <w:t>Marthy</w:t>
      </w:r>
      <w:proofErr w:type="spellEnd"/>
      <w:r w:rsidRPr="00877D4A">
        <w:rPr>
          <w:rFonts w:ascii="Times New Roman" w:hAnsi="Times New Roman"/>
          <w:sz w:val="24"/>
          <w:szCs w:val="24"/>
        </w:rPr>
        <w:t xml:space="preserve"> Tetteh</w:t>
      </w:r>
      <w:r>
        <w:rPr>
          <w:rFonts w:ascii="Times New Roman" w:hAnsi="Times New Roman"/>
          <w:sz w:val="24"/>
          <w:szCs w:val="24"/>
          <w:vertAlign w:val="superscript"/>
        </w:rPr>
        <w:t>3</w:t>
      </w:r>
      <w:r w:rsidRPr="00877D4A">
        <w:rPr>
          <w:rFonts w:ascii="Times New Roman" w:eastAsia="Times New Roman" w:hAnsi="Times New Roman"/>
          <w:sz w:val="24"/>
          <w:szCs w:val="24"/>
        </w:rPr>
        <w:t xml:space="preserve"> </w:t>
      </w:r>
    </w:p>
    <w:p w14:paraId="1EC666CA" w14:textId="77777777" w:rsidR="004A25C4" w:rsidRPr="00203C22" w:rsidRDefault="004A25C4" w:rsidP="004A25C4">
      <w:p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vertAlign w:val="superscript"/>
        </w:rPr>
        <w:t>1</w:t>
      </w:r>
      <w:r w:rsidRPr="00203C22">
        <w:rPr>
          <w:rFonts w:ascii="Times New Roman" w:eastAsia="Times New Roman" w:hAnsi="Times New Roman"/>
          <w:sz w:val="24"/>
          <w:szCs w:val="24"/>
          <w:vertAlign w:val="superscript"/>
        </w:rPr>
        <w:t xml:space="preserve"> </w:t>
      </w:r>
      <w:r w:rsidRPr="00203C22">
        <w:rPr>
          <w:rFonts w:ascii="Times New Roman" w:eastAsia="Times New Roman" w:hAnsi="Times New Roman"/>
          <w:sz w:val="24"/>
          <w:szCs w:val="24"/>
        </w:rPr>
        <w:t xml:space="preserve">Farming Systems </w:t>
      </w:r>
      <w:proofErr w:type="spellStart"/>
      <w:r w:rsidRPr="00203C22">
        <w:rPr>
          <w:rFonts w:ascii="Times New Roman" w:eastAsia="Times New Roman" w:hAnsi="Times New Roman"/>
          <w:sz w:val="24"/>
          <w:szCs w:val="24"/>
        </w:rPr>
        <w:t>Programme</w:t>
      </w:r>
      <w:proofErr w:type="spellEnd"/>
      <w:r w:rsidRPr="00203C22">
        <w:rPr>
          <w:rFonts w:ascii="Times New Roman" w:eastAsia="Times New Roman" w:hAnsi="Times New Roman"/>
          <w:sz w:val="24"/>
          <w:szCs w:val="24"/>
        </w:rPr>
        <w:t>, National Horticultural Research Institute, Ibadan, Nigeria</w:t>
      </w:r>
    </w:p>
    <w:p w14:paraId="3C6205E3" w14:textId="77777777" w:rsidR="004A25C4" w:rsidRDefault="004A25C4" w:rsidP="004A25C4">
      <w:pPr>
        <w:pStyle w:val="Heading2"/>
        <w:spacing w:before="0" w:line="360" w:lineRule="auto"/>
        <w:rPr>
          <w:b w:val="0"/>
          <w:bCs w:val="0"/>
        </w:rPr>
      </w:pPr>
      <w:r w:rsidRPr="008F6E33">
        <w:rPr>
          <w:b w:val="0"/>
          <w:bCs w:val="0"/>
          <w:vertAlign w:val="superscript"/>
        </w:rPr>
        <w:t>2</w:t>
      </w:r>
      <w:r>
        <w:rPr>
          <w:b w:val="0"/>
          <w:bCs w:val="0"/>
          <w:vertAlign w:val="superscript"/>
        </w:rPr>
        <w:t xml:space="preserve"> </w:t>
      </w:r>
      <w:r w:rsidRPr="008F6E33">
        <w:rPr>
          <w:b w:val="0"/>
          <w:bCs w:val="0"/>
        </w:rPr>
        <w:t>Federal University of Technology, Minna -Niger State, Nigeria</w:t>
      </w:r>
    </w:p>
    <w:p w14:paraId="17889947" w14:textId="77777777" w:rsidR="004A25C4" w:rsidRDefault="004A25C4" w:rsidP="004A25C4">
      <w:p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vertAlign w:val="superscript"/>
        </w:rPr>
        <w:t>3</w:t>
      </w:r>
      <w:r w:rsidRPr="00203C22">
        <w:rPr>
          <w:rFonts w:ascii="Times New Roman" w:eastAsia="Times New Roman" w:hAnsi="Times New Roman"/>
          <w:sz w:val="24"/>
          <w:szCs w:val="24"/>
        </w:rPr>
        <w:t xml:space="preserve"> Soil Research Institute, Kwadaso, Kumasi, Ghana.</w:t>
      </w:r>
    </w:p>
    <w:p w14:paraId="6E6CFB07" w14:textId="77777777" w:rsidR="004A25C4" w:rsidRPr="00203C22" w:rsidRDefault="004A25C4" w:rsidP="004A25C4">
      <w:pPr>
        <w:autoSpaceDE w:val="0"/>
        <w:autoSpaceDN w:val="0"/>
        <w:adjustRightInd w:val="0"/>
        <w:spacing w:after="0" w:line="360" w:lineRule="auto"/>
        <w:rPr>
          <w:rFonts w:ascii="Times New Roman" w:eastAsia="Times New Roman" w:hAnsi="Times New Roman"/>
          <w:sz w:val="24"/>
          <w:szCs w:val="24"/>
        </w:rPr>
      </w:pPr>
      <w:r w:rsidRPr="00203C22">
        <w:rPr>
          <w:rFonts w:ascii="Times New Roman" w:eastAsia="Times New Roman" w:hAnsi="Times New Roman"/>
          <w:sz w:val="24"/>
          <w:szCs w:val="24"/>
        </w:rPr>
        <w:t xml:space="preserve">*Corresponding author: </w:t>
      </w:r>
      <w:r>
        <w:rPr>
          <w:rFonts w:ascii="Times New Roman" w:eastAsia="Times New Roman" w:hAnsi="Times New Roman"/>
          <w:sz w:val="24"/>
          <w:szCs w:val="24"/>
        </w:rPr>
        <w:t>ujuojimadu@yahoo.co.uk</w:t>
      </w:r>
      <w:r w:rsidRPr="00203C22">
        <w:rPr>
          <w:rFonts w:ascii="Times New Roman" w:eastAsia="Times New Roman" w:hAnsi="Times New Roman"/>
          <w:sz w:val="24"/>
          <w:szCs w:val="24"/>
        </w:rPr>
        <w:t xml:space="preserve">. </w:t>
      </w:r>
    </w:p>
    <w:p w14:paraId="20D0AD0D" w14:textId="77777777" w:rsidR="004A25C4" w:rsidRPr="00417A14" w:rsidRDefault="004A25C4" w:rsidP="00936876">
      <w:pPr>
        <w:autoSpaceDE w:val="0"/>
        <w:autoSpaceDN w:val="0"/>
        <w:adjustRightInd w:val="0"/>
        <w:spacing w:after="0" w:line="360" w:lineRule="auto"/>
        <w:rPr>
          <w:rFonts w:ascii="Times New Roman" w:eastAsiaTheme="majorEastAsia" w:hAnsi="Times New Roman"/>
          <w:b/>
          <w:bCs/>
          <w:kern w:val="36"/>
          <w:sz w:val="24"/>
          <w:szCs w:val="48"/>
          <w:lang w:eastAsia="en-GB"/>
        </w:rPr>
      </w:pPr>
    </w:p>
    <w:p w14:paraId="236F37FC" w14:textId="77777777" w:rsidR="00936876" w:rsidRPr="00417A14" w:rsidRDefault="00936876" w:rsidP="00936876">
      <w:pPr>
        <w:pStyle w:val="Heading1"/>
        <w:spacing w:before="0" w:beforeAutospacing="0" w:after="0" w:afterAutospacing="0" w:line="480" w:lineRule="auto"/>
      </w:pPr>
    </w:p>
    <w:p w14:paraId="25012CC1" w14:textId="675783FC" w:rsidR="00936876" w:rsidRPr="00417A14" w:rsidRDefault="00936876" w:rsidP="00936876">
      <w:pPr>
        <w:pStyle w:val="Heading1"/>
        <w:spacing w:before="0" w:beforeAutospacing="0" w:after="0" w:afterAutospacing="0" w:line="480" w:lineRule="auto"/>
      </w:pPr>
      <w:r w:rsidRPr="00417A14">
        <w:t xml:space="preserve">Abstract </w:t>
      </w:r>
    </w:p>
    <w:p w14:paraId="391EC0FB" w14:textId="12FF4BEC" w:rsidR="00936876" w:rsidRPr="00417A14" w:rsidRDefault="00936876" w:rsidP="00936876">
      <w:pPr>
        <w:pStyle w:val="Default"/>
        <w:tabs>
          <w:tab w:val="left" w:pos="2970"/>
        </w:tabs>
        <w:spacing w:line="480" w:lineRule="auto"/>
        <w:jc w:val="both"/>
        <w:rPr>
          <w:bCs/>
          <w:color w:val="auto"/>
        </w:rPr>
      </w:pPr>
      <w:r w:rsidRPr="00417A14">
        <w:rPr>
          <w:color w:val="auto"/>
        </w:rPr>
        <w:t xml:space="preserve">This study evaluated the response of cowpea to nitrogen (N), phosphorus (P), and potassium (K) fertilizer applications in a ferric luvisol of the Guinea Savanna zone of Ghana, West Africa. The treatments were arranged in a randomized complete block design with 4 replications and carried out in two seasons. Performance of Omondaw cowpea variety was evaluated at different combinations of Nitrogen (0, 10, 20 and 30 kg/ha); Phosphorus (0, 15, 30 and 45 kg/ha) and Potassium (0, 10, 20, 30 kg/ha) fertilizers making 7 treatments based on existing blanket fertilizer recommendations in the region. </w:t>
      </w:r>
      <w:bookmarkStart w:id="1" w:name="_Hlk45761322"/>
      <w:r w:rsidRPr="00417A14">
        <w:rPr>
          <w:color w:val="auto"/>
        </w:rPr>
        <w:t>The fertilizer rate corresponding to 20 – 30 – 20 kg N-P</w:t>
      </w:r>
      <w:r w:rsidRPr="00417A14">
        <w:rPr>
          <w:color w:val="auto"/>
          <w:vertAlign w:val="subscript"/>
        </w:rPr>
        <w:t>2</w:t>
      </w:r>
      <w:r w:rsidRPr="00417A14">
        <w:rPr>
          <w:color w:val="auto"/>
        </w:rPr>
        <w:t>O</w:t>
      </w:r>
      <w:r w:rsidRPr="00417A14">
        <w:rPr>
          <w:color w:val="auto"/>
          <w:vertAlign w:val="subscript"/>
        </w:rPr>
        <w:t>5</w:t>
      </w:r>
      <w:r w:rsidRPr="00417A14">
        <w:rPr>
          <w:color w:val="auto"/>
        </w:rPr>
        <w:t>- K</w:t>
      </w:r>
      <w:r w:rsidRPr="00417A14">
        <w:rPr>
          <w:color w:val="auto"/>
          <w:vertAlign w:val="subscript"/>
        </w:rPr>
        <w:t>2</w:t>
      </w:r>
      <w:r w:rsidRPr="00417A14">
        <w:rPr>
          <w:color w:val="auto"/>
        </w:rPr>
        <w:t>O/</w:t>
      </w:r>
      <w:r w:rsidRPr="00417A14">
        <w:rPr>
          <w:noProof/>
          <w:color w:val="auto"/>
          <w:lang w:eastAsia="en-GB"/>
        </w:rPr>
        <w:t>ha gave the highest grain yield but not significantly different from the yield obtained from the application of</w:t>
      </w:r>
      <w:r w:rsidRPr="00417A14">
        <w:rPr>
          <w:color w:val="auto"/>
        </w:rPr>
        <w:t xml:space="preserve"> 20 – 45 – 20 and 30 – 45 – 30 kg N-P</w:t>
      </w:r>
      <w:r w:rsidRPr="00417A14">
        <w:rPr>
          <w:color w:val="auto"/>
          <w:vertAlign w:val="subscript"/>
        </w:rPr>
        <w:t>2</w:t>
      </w:r>
      <w:r w:rsidRPr="00417A14">
        <w:rPr>
          <w:color w:val="auto"/>
        </w:rPr>
        <w:t>O</w:t>
      </w:r>
      <w:r w:rsidRPr="00417A14">
        <w:rPr>
          <w:color w:val="auto"/>
          <w:vertAlign w:val="subscript"/>
        </w:rPr>
        <w:t>5</w:t>
      </w:r>
      <w:r w:rsidRPr="00417A14">
        <w:rPr>
          <w:color w:val="auto"/>
        </w:rPr>
        <w:t>- K</w:t>
      </w:r>
      <w:r w:rsidRPr="00417A14">
        <w:rPr>
          <w:color w:val="auto"/>
          <w:vertAlign w:val="subscript"/>
        </w:rPr>
        <w:t>2</w:t>
      </w:r>
      <w:r w:rsidRPr="00417A14">
        <w:rPr>
          <w:color w:val="auto"/>
        </w:rPr>
        <w:t>O/ha. Lower application rates of 10 – 15 – 20 and 10 – 15 – 10 kg N-P</w:t>
      </w:r>
      <w:r w:rsidRPr="00417A14">
        <w:rPr>
          <w:color w:val="auto"/>
          <w:vertAlign w:val="subscript"/>
        </w:rPr>
        <w:t>2</w:t>
      </w:r>
      <w:r w:rsidRPr="00417A14">
        <w:rPr>
          <w:color w:val="auto"/>
        </w:rPr>
        <w:t>O</w:t>
      </w:r>
      <w:r w:rsidRPr="00417A14">
        <w:rPr>
          <w:color w:val="auto"/>
          <w:vertAlign w:val="subscript"/>
        </w:rPr>
        <w:t>5</w:t>
      </w:r>
      <w:r w:rsidRPr="00417A14">
        <w:rPr>
          <w:color w:val="auto"/>
        </w:rPr>
        <w:t>- K</w:t>
      </w:r>
      <w:r w:rsidRPr="00417A14">
        <w:rPr>
          <w:color w:val="auto"/>
          <w:vertAlign w:val="subscript"/>
        </w:rPr>
        <w:t>2</w:t>
      </w:r>
      <w:r w:rsidRPr="00417A14">
        <w:rPr>
          <w:color w:val="auto"/>
        </w:rPr>
        <w:t xml:space="preserve">O/ha were significantly different (P &lt; 0.05) from each other in 2012 cropping season but not different in 2013. The biomass yield was higher in the second year than in the first year and could be due to better rainfall at the </w:t>
      </w:r>
      <w:r w:rsidR="00587A53" w:rsidRPr="00417A14">
        <w:rPr>
          <w:color w:val="auto"/>
        </w:rPr>
        <w:t>season's onset</w:t>
      </w:r>
      <w:r w:rsidRPr="00417A14">
        <w:rPr>
          <w:color w:val="auto"/>
        </w:rPr>
        <w:t>. Fertilizer rate of 30 – 45 - 30 kg N-P</w:t>
      </w:r>
      <w:r w:rsidRPr="00417A14">
        <w:rPr>
          <w:color w:val="auto"/>
          <w:vertAlign w:val="subscript"/>
        </w:rPr>
        <w:t>2</w:t>
      </w:r>
      <w:r w:rsidRPr="00417A14">
        <w:rPr>
          <w:color w:val="auto"/>
        </w:rPr>
        <w:t>O</w:t>
      </w:r>
      <w:r w:rsidRPr="00417A14">
        <w:rPr>
          <w:color w:val="auto"/>
          <w:vertAlign w:val="subscript"/>
        </w:rPr>
        <w:t>5</w:t>
      </w:r>
      <w:r w:rsidRPr="00417A14">
        <w:rPr>
          <w:color w:val="auto"/>
        </w:rPr>
        <w:t>- K</w:t>
      </w:r>
      <w:r w:rsidRPr="00417A14">
        <w:rPr>
          <w:color w:val="auto"/>
          <w:vertAlign w:val="subscript"/>
        </w:rPr>
        <w:t>2</w:t>
      </w:r>
      <w:r w:rsidRPr="00417A14">
        <w:rPr>
          <w:color w:val="auto"/>
        </w:rPr>
        <w:t xml:space="preserve">O/ha also gave the highest biomass yield while the control gave the lowest yield for the 2 years. The </w:t>
      </w:r>
      <w:r w:rsidR="00587A53" w:rsidRPr="00417A14">
        <w:rPr>
          <w:color w:val="auto"/>
        </w:rPr>
        <w:t xml:space="preserve">good </w:t>
      </w:r>
      <w:r w:rsidRPr="00417A14">
        <w:rPr>
          <w:color w:val="auto"/>
        </w:rPr>
        <w:t xml:space="preserve">fertilizer rates selected for optimal cowpea grain yield in the study area are 20 - 30 - 20. </w:t>
      </w:r>
    </w:p>
    <w:bookmarkEnd w:id="1"/>
    <w:p w14:paraId="6BDE20FE" w14:textId="77777777" w:rsidR="00936876" w:rsidRPr="00417A14" w:rsidRDefault="00936876" w:rsidP="00936876">
      <w:pPr>
        <w:spacing w:line="480" w:lineRule="auto"/>
        <w:jc w:val="both"/>
        <w:rPr>
          <w:rFonts w:ascii="Times New Roman" w:hAnsi="Times New Roman"/>
          <w:sz w:val="24"/>
          <w:szCs w:val="24"/>
        </w:rPr>
      </w:pPr>
      <w:r w:rsidRPr="00417A14">
        <w:rPr>
          <w:rFonts w:ascii="Times New Roman" w:hAnsi="Times New Roman"/>
          <w:b/>
          <w:sz w:val="24"/>
          <w:szCs w:val="24"/>
        </w:rPr>
        <w:lastRenderedPageBreak/>
        <w:t>Keywords</w:t>
      </w:r>
      <w:r w:rsidRPr="00417A14">
        <w:rPr>
          <w:rFonts w:ascii="Times New Roman" w:hAnsi="Times New Roman"/>
          <w:sz w:val="24"/>
          <w:szCs w:val="24"/>
        </w:rPr>
        <w:t>: Fertilizer recommendation, Guinea savanna, Nutrient uptake, smallholder farmers, Soil organic matter.</w:t>
      </w:r>
    </w:p>
    <w:p w14:paraId="43A498E0" w14:textId="77777777" w:rsidR="00936876" w:rsidRPr="00417A14" w:rsidRDefault="00936876" w:rsidP="00936876">
      <w:pPr>
        <w:pStyle w:val="Heading1"/>
        <w:spacing w:before="0" w:beforeAutospacing="0" w:after="0" w:afterAutospacing="0" w:line="480" w:lineRule="auto"/>
      </w:pPr>
      <w:r w:rsidRPr="00417A14">
        <w:t>Introduction</w:t>
      </w:r>
    </w:p>
    <w:p w14:paraId="33CD8BF5" w14:textId="08650EFC" w:rsidR="00587A53" w:rsidRPr="00417A14" w:rsidRDefault="00936876" w:rsidP="00936876">
      <w:pPr>
        <w:spacing w:after="0" w:line="480" w:lineRule="auto"/>
        <w:jc w:val="both"/>
        <w:rPr>
          <w:rFonts w:ascii="Times New Roman" w:hAnsi="Times New Roman"/>
          <w:sz w:val="24"/>
          <w:szCs w:val="24"/>
          <w:lang w:val="en-GB"/>
        </w:rPr>
      </w:pPr>
      <w:r w:rsidRPr="00417A14">
        <w:rPr>
          <w:rFonts w:ascii="Times New Roman" w:hAnsi="Times New Roman"/>
          <w:sz w:val="24"/>
          <w:szCs w:val="24"/>
        </w:rPr>
        <w:t>Cowpea is widely produced in Ghana by smallholder farmers under rainfed conditions</w:t>
      </w:r>
      <w:r w:rsidR="00587A53" w:rsidRPr="00417A14">
        <w:rPr>
          <w:rFonts w:ascii="Times New Roman" w:hAnsi="Times New Roman"/>
          <w:sz w:val="24"/>
          <w:szCs w:val="24"/>
        </w:rPr>
        <w:t>,</w:t>
      </w:r>
      <w:r w:rsidRPr="00417A14">
        <w:rPr>
          <w:rFonts w:ascii="Times New Roman" w:hAnsi="Times New Roman"/>
          <w:sz w:val="24"/>
          <w:szCs w:val="24"/>
        </w:rPr>
        <w:t xml:space="preserve"> especially in the savanna and transitional agro-ecological zones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&lt;EndNote&gt;&lt;Cite&gt;&lt;Author&gt;Agyeman&lt;/Author&gt;&lt;Year&gt;2014&lt;/Year&gt;&lt;RecNum&gt;8&lt;/RecNum&gt;&lt;DisplayText&gt;(Agyeman et al. 2014)&lt;/DisplayText&gt;&lt;record&gt;&lt;rec-number&gt;8&lt;/rec-number&gt;&lt;foreign-keys&gt;&lt;key app="EN" db-id="2vz9r9ed7zadxne0a0t5e5572x0farz0e0tp" timestamp="1561603982"&gt;8&lt;/key&gt;&lt;/foreign-keys&gt;&lt;ref-type name="Journal Article"&gt;17&lt;/ref-type&gt;&lt;contributors&gt;&lt;authors&gt;&lt;author&gt;Agyeman, K&lt;/author&gt;&lt;author&gt;Berchie, andJN&lt;/author&gt;&lt;author&gt;Bonsu, I&lt;/author&gt;&lt;author&gt;Nartey, TE&lt;/author&gt;&lt;author&gt;Fordjour, JK&lt;/author&gt;&lt;/authors&gt;&lt;/contributors&gt;&lt;titles&gt;&lt;title&gt;&lt;style face="normal" font="default" size="100%"&gt;Growth and yield performance of improved cowpea (&lt;/style&gt;&lt;style face="italic" font="default" size="100%"&gt;Vigna unguiculata&lt;/style&gt;&lt;style face="normal" font="default" size="100%"&gt; L.) varieties in Ghana&lt;/style&gt;&lt;/title&gt;&lt;secondary-title&gt;Agric Sci&lt;/secondary-title&gt;&lt;/titles&gt;&lt;pages&gt;44-52&lt;/pages&gt;&lt;volume&gt;2&lt;/volume&gt;&lt;number&gt;4&lt;/number&gt;&lt;dates&gt;&lt;year&gt;2014&lt;/year&gt;&lt;/dates&gt;&lt;urls&gt;&lt;/urls&gt;&lt;/record&gt;&lt;/Cite&gt;&lt;/EndNote&gt;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(Agyeman et al. 2014)</w:t>
      </w:r>
      <w:r w:rsidRPr="00417A14">
        <w:rPr>
          <w:rFonts w:ascii="Times New Roman" w:hAnsi="Times New Roman"/>
          <w:sz w:val="24"/>
          <w:szCs w:val="24"/>
        </w:rPr>
        <w:fldChar w:fldCharType="end"/>
      </w:r>
      <w:r w:rsidRPr="00417A14">
        <w:rPr>
          <w:rFonts w:ascii="Times New Roman" w:hAnsi="Times New Roman"/>
          <w:sz w:val="24"/>
          <w:szCs w:val="24"/>
        </w:rPr>
        <w:t xml:space="preserve">. The yields are very low ranging from 310 to 450 kg/ha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&lt;EndNote&gt;&lt;Cite&gt;&lt;Author&gt;Ofosu-Budu&lt;/Author&gt;&lt;Year&gt;2008&lt;/Year&gt;&lt;RecNum&gt;9&lt;/RecNum&gt;&lt;DisplayText&gt;(Boddey et al. 2017; Ofosu-Budu et al. 2008)&lt;/DisplayText&gt;&lt;record&gt;&lt;rec-number&gt;9&lt;/rec-number&gt;&lt;foreign-keys&gt;&lt;key app="EN" db-id="2vz9r9ed7zadxne0a0t5e5572x0farz0e0tp" timestamp="1561604128"&gt;9&lt;/key&gt;&lt;/foreign-keys&gt;&lt;ref-type name="Journal Article"&gt;17&lt;/ref-type&gt;&lt;contributors&gt;&lt;authors&gt;&lt;author&gt;Ofosu-Budu, KG&lt;/author&gt;&lt;author&gt;Obeng-Ofori, D&lt;/author&gt;&lt;author&gt;Afreh-Nuamah, K&lt;/author&gt;&lt;author&gt;Annobill, R&lt;/author&gt;&lt;/authors&gt;&lt;/contributors&gt;&lt;titles&gt;&lt;title&gt;&lt;style face="normal" font="default" size="100%"&gt;Effect of phospho-compost on growth and yield of cowpea (&lt;/style&gt;&lt;style face="italic" font="default" size="100%"&gt;Vigna unguiculata&lt;/style&gt;&lt;style face="normal" font="default" size="100%"&gt;)&lt;/style&gt;&lt;/title&gt;&lt;secondary-title&gt;Ghana J. Agric. Sci&lt;/secondary-title&gt;&lt;/titles&gt;&lt;pages&gt;169-176&lt;/pages&gt;&lt;volume&gt;40&lt;/volume&gt;&lt;number&gt;2&lt;/number&gt;&lt;dates&gt;&lt;year&gt;2008&lt;/year&gt;&lt;/dates&gt;&lt;isbn&gt;0855-0042&lt;/isbn&gt;&lt;urls&gt;&lt;/urls&gt;&lt;/record&gt;&lt;/Cite&gt;&lt;Cite&gt;&lt;Author&gt;Boddey&lt;/Author&gt;&lt;Year&gt;2017&lt;/Year&gt;&lt;RecNum&gt;858&lt;/RecNum&gt;&lt;record&gt;&lt;rec-number&gt;858&lt;/rec-number&gt;&lt;foreign-keys&gt;&lt;key app="EN" db-id="2vz9r9ed7zadxne0a0t5e5572x0farz0e0tp" timestamp="1591306098"&gt;858&lt;/key&gt;&lt;/foreign-keys&gt;&lt;ref-type name="Journal Article"&gt;17&lt;/ref-type&gt;&lt;contributors&gt;&lt;authors&gt;&lt;author&gt;Boddey, Robert M&lt;/author&gt;&lt;author&gt;Fosu, Mathias&lt;/author&gt;&lt;author&gt;Atakora, Williams K&lt;/author&gt;&lt;author&gt;Miranda, Cesar HB&lt;/author&gt;&lt;author&gt;Boddey, Lucia H&lt;/author&gt;&lt;author&gt;Guimaraes, Ana Paula&lt;/author&gt;&lt;author&gt;Ahiabor, Benjamin DK&lt;/author&gt;&lt;/authors&gt;&lt;/contributors&gt;&lt;titles&gt;&lt;title&gt;Cowpea (Vigna unguiculata) crops in Africa can respond to inoculation with rhizobium&lt;/title&gt;&lt;secondary-title&gt;Experimental Agriculture&lt;/secondary-title&gt;&lt;/titles&gt;&lt;periodical&gt;&lt;full-title&gt;Experimental Agriculture&lt;/full-title&gt;&lt;abbr-1&gt;Exp. Agric.&lt;/abbr-1&gt;&lt;abbr-2&gt;Exp Agric&lt;/abbr-2&gt;&lt;/periodical&gt;&lt;pages&gt;578-587&lt;/pages&gt;&lt;volume&gt;53&lt;/volume&gt;&lt;number&gt;4&lt;/number&gt;&lt;dates&gt;&lt;year&gt;2017&lt;/year&gt;&lt;/dates&gt;&lt;isbn&gt;0014-4797&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(Boddey et al. 2017; Ofosu-Budu et al. 2008)</w:t>
      </w:r>
      <w:r w:rsidRPr="00417A14">
        <w:rPr>
          <w:rFonts w:ascii="Times New Roman" w:hAnsi="Times New Roman"/>
          <w:sz w:val="24"/>
          <w:szCs w:val="24"/>
        </w:rPr>
        <w:fldChar w:fldCharType="end"/>
      </w:r>
      <w:r w:rsidRPr="00417A14">
        <w:rPr>
          <w:rFonts w:ascii="Times New Roman" w:hAnsi="Times New Roman"/>
          <w:sz w:val="24"/>
          <w:szCs w:val="24"/>
        </w:rPr>
        <w:t>. Consequently, efforts have been made to increase cowpea production in Ghana through several means</w:t>
      </w:r>
      <w:r w:rsidR="00587A53" w:rsidRPr="00417A14">
        <w:rPr>
          <w:rFonts w:ascii="Times New Roman" w:hAnsi="Times New Roman"/>
          <w:sz w:val="24"/>
          <w:szCs w:val="24"/>
        </w:rPr>
        <w:t xml:space="preserve"> and</w:t>
      </w:r>
      <w:r w:rsidRPr="00417A14">
        <w:rPr>
          <w:rFonts w:ascii="Times New Roman" w:hAnsi="Times New Roman"/>
          <w:sz w:val="24"/>
          <w:szCs w:val="24"/>
        </w:rPr>
        <w:t xml:space="preserve"> the use of improved varieties as reported by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&lt;EndNote&gt;&lt;Cite&gt;&lt;Author&gt;Addo-Quaye&lt;/Author&gt;&lt;Year&gt;2011&lt;/Year&gt;&lt;RecNum&gt;10&lt;/RecNum&gt;&lt;DisplayText&gt;(Addo-Quaye et al. 2011)&lt;/DisplayText&gt;&lt;record&gt;&lt;rec-number&gt;10&lt;/rec-number&gt;&lt;foreign-keys&gt;&lt;key app="EN" db-id="2vz9r9ed7zadxne0a0t5e5572x0farz0e0tp" timestamp="1561604234"&gt;10&lt;/key&gt;&lt;/foreign-keys&gt;&lt;ref-type name="Journal Article"&gt;17&lt;/ref-type&gt;&lt;contributors&gt;&lt;authors&gt;&lt;author&gt;Addo-Quaye, AA&lt;/author&gt;&lt;author&gt;Darkwa, AA&lt;/author&gt;&lt;author&gt;Ampiah, MKP&lt;/author&gt;&lt;/authors&gt;&lt;/contributors&gt;&lt;titles&gt;&lt;title&gt;&lt;style face="normal" font="default" size="100%"&gt;Performance of three cowpea (&lt;/style&gt;&lt;style face="italic" font="default" size="100%"&gt;Vigna unguiculata&lt;/style&gt;&lt;style face="normal" font="default" size="100%"&gt; (L) Walp) varieties in two agro-ecological zones of the Central Region of Ghana I: Dry matter production and growth analysis&lt;/style&gt;&lt;/title&gt;&lt;secondary-title&gt;J. agric. biol. sci. &lt;/secondary-title&gt;&lt;/titles&gt;&lt;pages&gt;1-9&lt;/pages&gt;&lt;volume&gt;6&lt;/volume&gt;&lt;number&gt;2&lt;/number&gt;&lt;dates&gt;&lt;year&gt;2011&lt;/year&gt;&lt;/dates&gt;&lt;isbn&gt;1990-6145&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(Addo-Quaye et al. 2011)</w:t>
      </w:r>
      <w:r w:rsidRPr="00417A14">
        <w:rPr>
          <w:rFonts w:ascii="Times New Roman" w:hAnsi="Times New Roman"/>
          <w:sz w:val="24"/>
          <w:szCs w:val="24"/>
        </w:rPr>
        <w:fldChar w:fldCharType="end"/>
      </w:r>
      <w:r w:rsidRPr="00417A14">
        <w:rPr>
          <w:rFonts w:ascii="Times New Roman" w:hAnsi="Times New Roman"/>
          <w:sz w:val="24"/>
          <w:szCs w:val="24"/>
        </w:rPr>
        <w:t xml:space="preserve">. These improved varieties, however, on their own cannot reach the potential yield level without appropriate soil amendments. </w:t>
      </w:r>
      <w:proofErr w:type="spellStart"/>
      <w:r w:rsidRPr="00417A14">
        <w:rPr>
          <w:rFonts w:ascii="Times New Roman" w:hAnsi="Times New Roman"/>
          <w:sz w:val="24"/>
          <w:szCs w:val="24"/>
        </w:rPr>
        <w:t>Fosu</w:t>
      </w:r>
      <w:proofErr w:type="spellEnd"/>
      <w:r w:rsidRPr="00417A14">
        <w:rPr>
          <w:rFonts w:ascii="Times New Roman" w:hAnsi="Times New Roman"/>
          <w:sz w:val="24"/>
          <w:szCs w:val="24"/>
        </w:rPr>
        <w:t xml:space="preserve"> and Tetteh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&lt;EndNote&gt;&lt;Cite&gt;&lt;Author&gt;Fosu&lt;/Author&gt;&lt;Year&gt;2008&lt;/Year&gt;&lt;RecNum&gt;11&lt;/RecNum&gt;&lt;DisplayText&gt;(Fosu and Tetteh 2008)&lt;/DisplayText&gt;&lt;record&gt;&lt;rec-number&gt;11&lt;/rec-number&gt;&lt;foreign-keys&gt;&lt;key app="EN" db-id="2vz9r9ed7zadxne0a0t5e5572x0farz0e0tp" timestamp="1561604281"&gt;11&lt;/key&gt;&lt;/foreign-keys&gt;&lt;ref-type name="Journal Article"&gt;17&lt;/ref-type&gt;&lt;contributors&gt;&lt;authors&gt;&lt;author&gt;Fosu, M&lt;/author&gt;&lt;author&gt;Tetteh, FM&lt;/author&gt;&lt;/authors&gt;&lt;/contributors&gt;&lt;titles&gt;&lt;title&gt;Soil Organic Matter and Nitrogen in Ghanaian Soils: A review&lt;/title&gt;&lt;secondary-title&gt;Synthesis of soil, water and nutrient management research in the Volta Basin&lt;/secondary-title&gt;&lt;/titles&gt;&lt;pages&gt;67&lt;/pages&gt;&lt;dates&gt;&lt;year&gt;2008&lt;/year&gt;&lt;/dates&gt;&lt;urls&gt;&lt;/urls&gt;&lt;/record&gt;&lt;/Cite&gt;&lt;/EndNote&gt;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(Fosu and Tetteh 2008)</w:t>
      </w:r>
      <w:r w:rsidRPr="00417A14">
        <w:rPr>
          <w:rFonts w:ascii="Times New Roman" w:hAnsi="Times New Roman"/>
          <w:sz w:val="24"/>
          <w:szCs w:val="24"/>
        </w:rPr>
        <w:fldChar w:fldCharType="end"/>
      </w:r>
      <w:r w:rsidRPr="00417A14">
        <w:rPr>
          <w:rFonts w:ascii="Times New Roman" w:hAnsi="Times New Roman"/>
          <w:sz w:val="24"/>
          <w:szCs w:val="24"/>
        </w:rPr>
        <w:t xml:space="preserve"> reported that soils of </w:t>
      </w:r>
      <w:r w:rsidR="00587A53" w:rsidRPr="00417A14">
        <w:rPr>
          <w:rFonts w:ascii="Times New Roman" w:hAnsi="Times New Roman"/>
          <w:sz w:val="24"/>
          <w:szCs w:val="24"/>
        </w:rPr>
        <w:t>northern Ghana's savanna zones</w:t>
      </w:r>
      <w:r w:rsidRPr="00417A14">
        <w:rPr>
          <w:rFonts w:ascii="Times New Roman" w:hAnsi="Times New Roman"/>
          <w:sz w:val="24"/>
          <w:szCs w:val="24"/>
        </w:rPr>
        <w:t xml:space="preserve"> contain lower soil organic matter and nitrogen (N) than the forest zone soils and therefore need an amendment to obtain a good yield. Farmers in the study area currently use organic manure as a soil amendment; however, </w:t>
      </w:r>
      <w:r w:rsidR="00587A53" w:rsidRPr="00417A14">
        <w:rPr>
          <w:rFonts w:ascii="Times New Roman" w:hAnsi="Times New Roman"/>
          <w:sz w:val="24"/>
          <w:szCs w:val="24"/>
        </w:rPr>
        <w:t xml:space="preserve">it's </w:t>
      </w:r>
      <w:r w:rsidRPr="00417A14">
        <w:rPr>
          <w:rFonts w:ascii="Times New Roman" w:hAnsi="Times New Roman"/>
          <w:sz w:val="24"/>
          <w:szCs w:val="24"/>
        </w:rPr>
        <w:t xml:space="preserve">benefits have not been fully realized due to low nutrient content and the huge quantities required to meet crop nutritional needs </w:t>
      </w:r>
      <w:r w:rsidRPr="00417A14">
        <w:rPr>
          <w:rFonts w:ascii="Times New Roman" w:hAnsi="Times New Roman"/>
          <w:sz w:val="24"/>
          <w:szCs w:val="24"/>
        </w:rPr>
        <w:fldChar w:fldCharType="begin"/>
      </w:r>
      <w:r w:rsidR="00417A14">
        <w:rPr>
          <w:rFonts w:ascii="Times New Roman" w:hAnsi="Times New Roman"/>
          <w:sz w:val="24"/>
          <w:szCs w:val="24"/>
        </w:rPr>
        <w:instrText xml:space="preserve"> ADDIN EN.CITE &lt;EndNote&gt;&lt;Cite&gt;&lt;Author&gt;Ewusi-Mensah&lt;/Author&gt;&lt;Year&gt;2018&lt;/Year&gt;&lt;RecNum&gt;12&lt;/RecNum&gt;&lt;DisplayText&gt;(Ewusi-Mensah 2018)&lt;/DisplayText&gt;&lt;record&gt;&lt;rec-number&gt;12&lt;/rec-number&gt;&lt;foreign-keys&gt;&lt;key app="EN" db-id="2vz9r9ed7zadxne0a0t5e5572x0farz0e0tp" timestamp="1561604333"&gt;12&lt;/key&gt;&lt;/foreign-keys&gt;&lt;ref-type name="Thesis"&gt;32&lt;/ref-type&gt;&lt;contributors&gt;&lt;authors&gt;&lt;author&gt;Ewusi-Mensah, Nana&lt;/author&gt;&lt;/authors&gt;&lt;/contributors&gt;&lt;titles&gt;&lt;title&gt;Optimizing manure quality for increased food production on small holder farms in the Upper East Region of Ghana&lt;/title&gt;&lt;/titles&gt;&lt;volume&gt;Doctoral Thesis&lt;/volume&gt;&lt;dates&gt;&lt;year&gt;2018&lt;/year&gt;&lt;/dates&gt;&lt;publisher&gt;Doctoral thesis, Kwame Nkrumah University of Science and Technology, Kumasi, Ghana&lt;/publisher&gt;&lt;urls&gt;&lt;/urls&gt;&lt;/record&gt;&lt;/Cite&gt;&lt;/EndNote&gt;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(Ewusi-Mensah 2018)</w:t>
      </w:r>
      <w:r w:rsidRPr="00417A14">
        <w:rPr>
          <w:rFonts w:ascii="Times New Roman" w:hAnsi="Times New Roman"/>
          <w:sz w:val="24"/>
          <w:szCs w:val="24"/>
        </w:rPr>
        <w:fldChar w:fldCharType="end"/>
      </w:r>
      <w:r w:rsidRPr="00417A14">
        <w:rPr>
          <w:rFonts w:ascii="Times New Roman" w:hAnsi="Times New Roman"/>
          <w:sz w:val="24"/>
          <w:szCs w:val="24"/>
        </w:rPr>
        <w:t xml:space="preserve">. </w:t>
      </w:r>
      <w:r w:rsidRPr="00417A14">
        <w:rPr>
          <w:rFonts w:ascii="Times New Roman" w:hAnsi="Times New Roman"/>
          <w:sz w:val="24"/>
          <w:szCs w:val="24"/>
          <w:lang w:val="en-GB"/>
        </w:rPr>
        <w:t xml:space="preserve">Hence, the organic amendments used by smallholder cannot compensate for nutrients removed through crop harvest </w:t>
      </w:r>
      <w:r w:rsidRPr="00417A14">
        <w:rPr>
          <w:rFonts w:ascii="Times New Roman" w:hAnsi="Times New Roman"/>
          <w:sz w:val="24"/>
          <w:szCs w:val="24"/>
          <w:lang w:val="en-GB"/>
        </w:rPr>
        <w:fldChar w:fldCharType="begin"/>
      </w:r>
      <w:r w:rsidRPr="00417A14">
        <w:rPr>
          <w:rFonts w:ascii="Times New Roman" w:hAnsi="Times New Roman"/>
          <w:sz w:val="24"/>
          <w:szCs w:val="24"/>
          <w:lang w:val="en-GB"/>
        </w:rPr>
        <w:instrText xml:space="preserve"> ADDIN EN.CITE &lt;EndNote&gt;&lt;Cite&gt;&lt;Author&gt;Bationo&lt;/Author&gt;&lt;Year&gt;2002&lt;/Year&gt;&lt;RecNum&gt;13&lt;/RecNum&gt;&lt;DisplayText&gt;(Bationo and Kumar 2002)&lt;/DisplayText&gt;&lt;record&gt;&lt;rec-number&gt;13&lt;/rec-number&gt;&lt;foreign-keys&gt;&lt;key app="EN" db-id="2vz9r9ed7zadxne0a0t5e5572x0farz0e0tp" timestamp="1561604406"&gt;13&lt;/key&gt;&lt;/foreign-keys&gt;&lt;ref-type name="Book Section"&gt;5&lt;/ref-type&gt;&lt;contributors&gt;&lt;authors&gt;&lt;author&gt;Bationo, André&lt;/author&gt;&lt;author&gt;Kumar, K Anand&lt;/author&gt;&lt;/authors&gt;&lt;/contributors&gt;&lt;titles&gt;&lt;title&gt;Phosphorus use efficiency as related to sources of P fertilizers, rainfall, soil, crop management, and genotypes in the West African semi-arid tropics&lt;/title&gt;&lt;secondary-title&gt;Food Security in Nutrient-Stressed Environments: Exploiting Plants’ Genetic Capabilities&lt;/secondary-title&gt;&lt;/titles&gt;&lt;pages&gt;145-154&lt;/pages&gt;&lt;dates&gt;&lt;year&gt;2002&lt;/year&gt;&lt;/dates&gt;&lt;publisher&gt;Springer&lt;/publisher&gt;&lt;urls&gt;&lt;/urls&gt;&lt;/record&gt;&lt;/Cite&gt;&lt;/EndNote&gt;</w:instrText>
      </w:r>
      <w:r w:rsidRPr="00417A14">
        <w:rPr>
          <w:rFonts w:ascii="Times New Roman" w:hAnsi="Times New Roman"/>
          <w:sz w:val="24"/>
          <w:szCs w:val="24"/>
          <w:lang w:val="en-GB"/>
        </w:rPr>
        <w:fldChar w:fldCharType="separate"/>
      </w:r>
      <w:r w:rsidRPr="00417A14">
        <w:rPr>
          <w:rFonts w:ascii="Times New Roman" w:hAnsi="Times New Roman"/>
          <w:noProof/>
          <w:sz w:val="24"/>
          <w:szCs w:val="24"/>
          <w:lang w:val="en-GB"/>
        </w:rPr>
        <w:t>(Bationo and Kumar 2002)</w:t>
      </w:r>
      <w:r w:rsidRPr="00417A14">
        <w:rPr>
          <w:rFonts w:ascii="Times New Roman" w:hAnsi="Times New Roman"/>
          <w:sz w:val="24"/>
          <w:szCs w:val="24"/>
          <w:lang w:val="en-GB"/>
        </w:rPr>
        <w:fldChar w:fldCharType="end"/>
      </w:r>
      <w:r w:rsidRPr="00417A14">
        <w:rPr>
          <w:rFonts w:ascii="Times New Roman" w:hAnsi="Times New Roman"/>
          <w:sz w:val="24"/>
          <w:szCs w:val="24"/>
          <w:lang w:val="en-GB"/>
        </w:rPr>
        <w:t xml:space="preserve">. It can also lead to </w:t>
      </w:r>
      <w:r w:rsidR="00587A53" w:rsidRPr="00417A14">
        <w:rPr>
          <w:rFonts w:ascii="Times New Roman" w:hAnsi="Times New Roman"/>
          <w:sz w:val="24"/>
          <w:szCs w:val="24"/>
          <w:lang w:val="en-GB"/>
        </w:rPr>
        <w:t xml:space="preserve">a </w:t>
      </w:r>
      <w:r w:rsidRPr="00417A14">
        <w:rPr>
          <w:rFonts w:ascii="Times New Roman" w:hAnsi="Times New Roman"/>
          <w:sz w:val="24"/>
          <w:szCs w:val="24"/>
          <w:lang w:val="en-GB"/>
        </w:rPr>
        <w:t>nutrient imbalance in the soil</w:t>
      </w:r>
      <w:r w:rsidR="00587A53" w:rsidRPr="00417A14">
        <w:rPr>
          <w:rFonts w:ascii="Times New Roman" w:hAnsi="Times New Roman"/>
          <w:sz w:val="24"/>
          <w:szCs w:val="24"/>
          <w:lang w:val="en-GB"/>
        </w:rPr>
        <w:t>, potentially affecting crop yield</w:t>
      </w:r>
      <w:r w:rsidRPr="00417A14">
        <w:rPr>
          <w:rFonts w:ascii="Times New Roman" w:hAnsi="Times New Roman"/>
          <w:sz w:val="24"/>
          <w:szCs w:val="24"/>
          <w:lang w:val="en-GB"/>
        </w:rPr>
        <w:t xml:space="preserve">. Farmers are constrained to the use of organic fertilizers due to several reasons. One of the reasons </w:t>
      </w:r>
      <w:r w:rsidR="00587A53" w:rsidRPr="00417A14">
        <w:rPr>
          <w:rFonts w:ascii="Times New Roman" w:hAnsi="Times New Roman"/>
          <w:sz w:val="24"/>
          <w:szCs w:val="24"/>
          <w:lang w:val="en-GB"/>
        </w:rPr>
        <w:t>is the fear of health concern that is often associated with inorganic fertilizers and its price that is gradually getting beyond smallholder farmers' reach</w:t>
      </w:r>
      <w:r w:rsidRPr="00417A14">
        <w:rPr>
          <w:rFonts w:ascii="Times New Roman" w:hAnsi="Times New Roman"/>
          <w:sz w:val="24"/>
          <w:szCs w:val="24"/>
          <w:lang w:val="en-GB"/>
        </w:rPr>
        <w:t xml:space="preserve"> </w:t>
      </w:r>
      <w:r w:rsidRPr="00417A14">
        <w:rPr>
          <w:rFonts w:ascii="Times New Roman" w:hAnsi="Times New Roman"/>
          <w:sz w:val="24"/>
          <w:szCs w:val="24"/>
          <w:lang w:val="en-GB"/>
        </w:rPr>
        <w:fldChar w:fldCharType="begin"/>
      </w:r>
      <w:r w:rsidRPr="00417A14">
        <w:rPr>
          <w:rFonts w:ascii="Times New Roman" w:hAnsi="Times New Roman"/>
          <w:sz w:val="24"/>
          <w:szCs w:val="24"/>
          <w:lang w:val="en-GB"/>
        </w:rPr>
        <w:instrText xml:space="preserve"> ADDIN EN.CITE &lt;EndNote&gt;&lt;Cite&gt;&lt;Author&gt;Nganchamung&lt;/Author&gt;&lt;Year&gt;2017&lt;/Year&gt;&lt;RecNum&gt;89&lt;/RecNum&gt;&lt;DisplayText&gt;(Nganchamung et al. 2017; Sharma and Singhvi 2017)&lt;/DisplayText&gt;&lt;record&gt;&lt;rec-number&gt;89&lt;/rec-number&gt;&lt;foreign-keys&gt;&lt;key app="EN" db-id="2vz9r9ed7zadxne0a0t5e5572x0farz0e0tp" timestamp="1563132081"&gt;89&lt;/key&gt;&lt;/foreign-keys&gt;&lt;ref-type name="Journal Article"&gt;17&lt;/ref-type&gt;&lt;contributors&gt;&lt;authors&gt;&lt;author&gt;Nganchamung, Thitirat&lt;/author&gt;&lt;author&gt;Robson, Mark G&lt;/author&gt;&lt;author&gt;Siriwong, Wattasit&lt;/author&gt;&lt;/authors&gt;&lt;/contributors&gt;&lt;titles&gt;&lt;title&gt;Chemical Fertilizer Use and Acute Health Effects among Chili Farmers in Ubon Ratchathani Province, Thailand&lt;/title&gt;&lt;secondary-title&gt;J. Health Res.&lt;/secondary-title&gt;&lt;/titles&gt;&lt;pages&gt;427-435&lt;/pages&gt;&lt;volume&gt;31&lt;/volume&gt;&lt;number&gt;6&lt;/number&gt;&lt;dates&gt;&lt;year&gt;2017&lt;/year&gt;&lt;/dates&gt;&lt;isbn&gt;2586-940X&lt;/isbn&gt;&lt;urls&gt;&lt;/urls&gt;&lt;/record&gt;&lt;/Cite&gt;&lt;Cite&gt;&lt;Author&gt;Sharma&lt;/Author&gt;&lt;Year&gt;2017&lt;/Year&gt;&lt;RecNum&gt;90&lt;/RecNum&gt;&lt;record&gt;&lt;rec-number&gt;90&lt;/rec-number&gt;&lt;foreign-keys&gt;&lt;key app="EN" db-id="2vz9r9ed7zadxne0a0t5e5572x0farz0e0tp" timestamp="1563132117"&gt;90&lt;/key&gt;&lt;/foreign-keys&gt;&lt;ref-type name="Journal Article"&gt;17&lt;/ref-type&gt;&lt;contributors&gt;&lt;authors&gt;&lt;author&gt;Sharma, Nayana&lt;/author&gt;&lt;author&gt;Singhvi, Ritu&lt;/author&gt;&lt;/authors&gt;&lt;/contributors&gt;&lt;titles&gt;&lt;title&gt;Effects of chemical fertilizers and pesticides on human health and environment: a review&lt;/title&gt;&lt;secondary-title&gt;Int. j. agric. environ. biotechnol.&lt;/secondary-title&gt;&lt;/titles&gt;&lt;pages&gt;675-679&lt;/pages&gt;&lt;volume&gt;10&lt;/volume&gt;&lt;number&gt;6&lt;/number&gt;&lt;dates&gt;&lt;year&gt;2017&lt;/year&gt;&lt;/dates&gt;&lt;isbn&gt;0974-1712&lt;/isbn&gt;&lt;urls&gt;&lt;/urls&gt;&lt;/record&gt;&lt;/Cite&gt;&lt;/EndNote&gt;</w:instrText>
      </w:r>
      <w:r w:rsidRPr="00417A14">
        <w:rPr>
          <w:rFonts w:ascii="Times New Roman" w:hAnsi="Times New Roman"/>
          <w:sz w:val="24"/>
          <w:szCs w:val="24"/>
          <w:lang w:val="en-GB"/>
        </w:rPr>
        <w:fldChar w:fldCharType="separate"/>
      </w:r>
      <w:r w:rsidRPr="00417A14">
        <w:rPr>
          <w:rFonts w:ascii="Times New Roman" w:hAnsi="Times New Roman"/>
          <w:noProof/>
          <w:sz w:val="24"/>
          <w:szCs w:val="24"/>
          <w:lang w:val="en-GB"/>
        </w:rPr>
        <w:t>(Nganchamung et al. 2017; Sharma and Singhvi 2017)</w:t>
      </w:r>
      <w:r w:rsidRPr="00417A14">
        <w:rPr>
          <w:rFonts w:ascii="Times New Roman" w:hAnsi="Times New Roman"/>
          <w:sz w:val="24"/>
          <w:szCs w:val="24"/>
          <w:lang w:val="en-GB"/>
        </w:rPr>
        <w:fldChar w:fldCharType="end"/>
      </w:r>
      <w:r w:rsidRPr="00417A14">
        <w:rPr>
          <w:rFonts w:ascii="Times New Roman" w:hAnsi="Times New Roman"/>
          <w:sz w:val="24"/>
          <w:szCs w:val="24"/>
          <w:lang w:val="en-GB"/>
        </w:rPr>
        <w:t>. Unfortunately, the high cost of inorganic fertilizer fade into oblivion compared to the cost of purchase and handling (including transportation) of the actual volume of organic fertilizer that will be required to meet the nutrient requirement of cowpea in their fields</w:t>
      </w:r>
      <w:r w:rsidR="00587A53" w:rsidRPr="00417A14">
        <w:rPr>
          <w:rFonts w:ascii="Times New Roman" w:hAnsi="Times New Roman"/>
          <w:sz w:val="24"/>
          <w:szCs w:val="24"/>
          <w:lang w:val="en-GB"/>
        </w:rPr>
        <w:t>.</w:t>
      </w:r>
    </w:p>
    <w:p w14:paraId="1C8992BB" w14:textId="1F3CE76A" w:rsidR="00936876" w:rsidRPr="00417A14" w:rsidRDefault="00936876" w:rsidP="00936876">
      <w:pPr>
        <w:spacing w:after="0" w:line="480" w:lineRule="auto"/>
        <w:jc w:val="both"/>
        <w:rPr>
          <w:rFonts w:ascii="Times New Roman" w:eastAsia="Times New Roman" w:hAnsi="Times New Roman"/>
          <w:sz w:val="24"/>
          <w:szCs w:val="24"/>
          <w:lang w:val="en-GB"/>
        </w:rPr>
      </w:pPr>
      <w:r w:rsidRPr="00417A14">
        <w:rPr>
          <w:rFonts w:ascii="Times New Roman" w:hAnsi="Times New Roman"/>
          <w:sz w:val="24"/>
          <w:szCs w:val="24"/>
          <w:lang w:val="en-GB"/>
        </w:rPr>
        <w:lastRenderedPageBreak/>
        <w:t xml:space="preserve">Furthermore, the nutrient composition of organic manure will vary based on its source. </w:t>
      </w:r>
      <w:r w:rsidR="00587A53" w:rsidRPr="00417A14">
        <w:rPr>
          <w:rFonts w:ascii="Times New Roman" w:hAnsi="Times New Roman"/>
          <w:sz w:val="24"/>
          <w:szCs w:val="24"/>
          <w:lang w:val="en-GB"/>
        </w:rPr>
        <w:t>Therefore, it will</w:t>
      </w:r>
      <w:r w:rsidRPr="00417A14">
        <w:rPr>
          <w:rFonts w:ascii="Times New Roman" w:hAnsi="Times New Roman"/>
          <w:sz w:val="24"/>
          <w:szCs w:val="24"/>
          <w:lang w:val="en-GB"/>
        </w:rPr>
        <w:t xml:space="preserve"> be difficult to rely on organic manure for now, until its production is somehow standardized. If handled with care, the health concern and fear of contamination of soil and water by inorganic fertilizer will be minimal. </w:t>
      </w:r>
      <w:r w:rsidRPr="00417A14">
        <w:rPr>
          <w:rFonts w:ascii="Times New Roman" w:hAnsi="Times New Roman"/>
          <w:sz w:val="24"/>
          <w:szCs w:val="24"/>
        </w:rPr>
        <w:t xml:space="preserve">It can also help to increase the productivity of cowpea for smallholder farmers. This will help maintain soil organic matter and soil N by increasing below and above ground biomass due to better plant nutrition. Cowpea, </w:t>
      </w:r>
      <w:r w:rsidR="00587A53" w:rsidRPr="00417A14">
        <w:rPr>
          <w:rFonts w:ascii="Times New Roman" w:hAnsi="Times New Roman"/>
          <w:sz w:val="24"/>
          <w:szCs w:val="24"/>
        </w:rPr>
        <w:t>compared with cereals, has received little attention from farmers in terms of fertilizer application partly due to the belief that it will fix its nutrient and</w:t>
      </w:r>
      <w:r w:rsidRPr="00417A14">
        <w:rPr>
          <w:rFonts w:ascii="Times New Roman" w:hAnsi="Times New Roman"/>
          <w:sz w:val="24"/>
          <w:szCs w:val="24"/>
        </w:rPr>
        <w:t xml:space="preserve"> the blanket fertilizer recommendation for all crops in Ghana. </w:t>
      </w:r>
      <w:r w:rsidRPr="00417A14">
        <w:rPr>
          <w:rFonts w:ascii="Times New Roman" w:eastAsia="Times New Roman" w:hAnsi="Times New Roman"/>
          <w:sz w:val="24"/>
          <w:szCs w:val="24"/>
          <w:lang w:val="en-GB"/>
        </w:rPr>
        <w:t>Food and Agriculture Organization (FAO) in conjunction with the Ghana Ministry of Food and Agriculture (</w:t>
      </w:r>
      <w:proofErr w:type="spellStart"/>
      <w:r w:rsidRPr="00417A14">
        <w:rPr>
          <w:rFonts w:ascii="Times New Roman" w:eastAsia="Times New Roman" w:hAnsi="Times New Roman"/>
          <w:sz w:val="24"/>
          <w:szCs w:val="24"/>
          <w:lang w:val="en-GB"/>
        </w:rPr>
        <w:t>MoFA</w:t>
      </w:r>
      <w:proofErr w:type="spellEnd"/>
      <w:r w:rsidRPr="00417A14">
        <w:rPr>
          <w:rFonts w:ascii="Times New Roman" w:eastAsia="Times New Roman" w:hAnsi="Times New Roman"/>
          <w:sz w:val="24"/>
          <w:szCs w:val="24"/>
          <w:lang w:val="en-GB"/>
        </w:rPr>
        <w:t>) and the Council for Scientific and Industrial Research (CSIR) conducted intensive fertilizer use studies throughout Ghana from 1962 to 1969. They recommended 22</w:t>
      </w:r>
      <w:r w:rsidRPr="00417A14">
        <w:rPr>
          <w:rFonts w:ascii="Times New Roman" w:hAnsi="Times New Roman"/>
          <w:sz w:val="24"/>
          <w:szCs w:val="24"/>
        </w:rPr>
        <w:t xml:space="preserve"> kg N, 28 – </w:t>
      </w:r>
      <w:smartTag w:uri="urn:schemas-microsoft-com:office:smarttags" w:element="metricconverter">
        <w:smartTagPr>
          <w:attr w:name="ProductID" w:val="67 kg"/>
        </w:smartTagPr>
        <w:r w:rsidRPr="00417A14">
          <w:rPr>
            <w:rFonts w:ascii="Times New Roman" w:hAnsi="Times New Roman"/>
            <w:sz w:val="24"/>
            <w:szCs w:val="24"/>
          </w:rPr>
          <w:t>67 kg</w:t>
        </w:r>
      </w:smartTag>
      <w:r w:rsidRPr="00417A14">
        <w:rPr>
          <w:rFonts w:ascii="Times New Roman" w:hAnsi="Times New Roman"/>
          <w:sz w:val="24"/>
          <w:szCs w:val="24"/>
        </w:rPr>
        <w:t xml:space="preserve"> P</w:t>
      </w:r>
      <w:r w:rsidRPr="00417A14">
        <w:rPr>
          <w:rFonts w:ascii="Times New Roman" w:hAnsi="Times New Roman"/>
          <w:sz w:val="24"/>
          <w:szCs w:val="24"/>
          <w:vertAlign w:val="subscript"/>
        </w:rPr>
        <w:t>2</w:t>
      </w:r>
      <w:r w:rsidRPr="00417A14">
        <w:rPr>
          <w:rFonts w:ascii="Times New Roman" w:hAnsi="Times New Roman"/>
          <w:sz w:val="24"/>
          <w:szCs w:val="24"/>
        </w:rPr>
        <w:t>O</w:t>
      </w:r>
      <w:r w:rsidRPr="00417A14">
        <w:rPr>
          <w:rFonts w:ascii="Times New Roman" w:hAnsi="Times New Roman"/>
          <w:sz w:val="24"/>
          <w:szCs w:val="24"/>
          <w:vertAlign w:val="subscript"/>
        </w:rPr>
        <w:t xml:space="preserve">5 </w:t>
      </w:r>
      <w:r w:rsidRPr="00417A14">
        <w:rPr>
          <w:rFonts w:ascii="Times New Roman" w:hAnsi="Times New Roman"/>
          <w:sz w:val="24"/>
          <w:szCs w:val="24"/>
        </w:rPr>
        <w:t xml:space="preserve">(phosphorus – P)  and 22 – </w:t>
      </w:r>
      <w:smartTag w:uri="urn:schemas-microsoft-com:office:smarttags" w:element="metricconverter">
        <w:smartTagPr>
          <w:attr w:name="ProductID" w:val="45 kg"/>
        </w:smartTagPr>
        <w:r w:rsidRPr="00417A14">
          <w:rPr>
            <w:rFonts w:ascii="Times New Roman" w:hAnsi="Times New Roman"/>
            <w:sz w:val="24"/>
            <w:szCs w:val="24"/>
          </w:rPr>
          <w:t>45 kg</w:t>
        </w:r>
      </w:smartTag>
      <w:r w:rsidRPr="00417A14">
        <w:rPr>
          <w:rFonts w:ascii="Times New Roman" w:hAnsi="Times New Roman"/>
          <w:sz w:val="24"/>
          <w:szCs w:val="24"/>
        </w:rPr>
        <w:t xml:space="preserve"> K</w:t>
      </w:r>
      <w:r w:rsidRPr="00417A14">
        <w:rPr>
          <w:rFonts w:ascii="Times New Roman" w:hAnsi="Times New Roman"/>
          <w:sz w:val="24"/>
          <w:szCs w:val="24"/>
          <w:vertAlign w:val="subscript"/>
        </w:rPr>
        <w:t>2</w:t>
      </w:r>
      <w:r w:rsidRPr="00417A14">
        <w:rPr>
          <w:rFonts w:ascii="Times New Roman" w:hAnsi="Times New Roman"/>
          <w:sz w:val="24"/>
          <w:szCs w:val="24"/>
        </w:rPr>
        <w:t>O/ha</w:t>
      </w:r>
      <w:r w:rsidRPr="00417A14">
        <w:rPr>
          <w:rFonts w:ascii="Times New Roman" w:hAnsi="Times New Roman"/>
          <w:sz w:val="24"/>
          <w:szCs w:val="24"/>
          <w:vertAlign w:val="superscript"/>
        </w:rPr>
        <w:t xml:space="preserve"> </w:t>
      </w:r>
      <w:r w:rsidRPr="00417A14">
        <w:rPr>
          <w:rFonts w:ascii="Times New Roman" w:hAnsi="Times New Roman"/>
          <w:sz w:val="24"/>
          <w:szCs w:val="24"/>
        </w:rPr>
        <w:t xml:space="preserve">(potassium – K) </w:t>
      </w:r>
      <w:r w:rsidRPr="00417A14">
        <w:rPr>
          <w:rFonts w:ascii="Times New Roman" w:eastAsia="Times New Roman" w:hAnsi="Times New Roman"/>
          <w:sz w:val="24"/>
          <w:szCs w:val="24"/>
          <w:lang w:val="en-GB"/>
        </w:rPr>
        <w:t xml:space="preserve">for cowpea irrespective of location </w:t>
      </w:r>
      <w:r w:rsidRPr="00417A14">
        <w:rPr>
          <w:rFonts w:ascii="Times New Roman" w:eastAsia="Times New Roman" w:hAnsi="Times New Roman"/>
          <w:sz w:val="24"/>
          <w:szCs w:val="24"/>
          <w:lang w:val="en-GB"/>
        </w:rPr>
        <w:fldChar w:fldCharType="begin"/>
      </w:r>
      <w:r w:rsidRPr="00417A14">
        <w:rPr>
          <w:rFonts w:ascii="Times New Roman" w:eastAsia="Times New Roman" w:hAnsi="Times New Roman"/>
          <w:sz w:val="24"/>
          <w:szCs w:val="24"/>
          <w:lang w:val="en-GB"/>
        </w:rPr>
        <w:instrText xml:space="preserve"> ADDIN EN.CITE &lt;EndNote&gt;&lt;Cite&gt;&lt;Author&gt;FAO&lt;/Author&gt;&lt;Year&gt;1974&lt;/Year&gt;&lt;RecNum&gt;38&lt;/RecNum&gt;&lt;DisplayText&gt;(FAO 1974)&lt;/DisplayText&gt;&lt;record&gt;&lt;rec-number&gt;38&lt;/rec-number&gt;&lt;foreign-keys&gt;&lt;key app="EN" db-id="2vz9r9ed7zadxne0a0t5e5572x0farz0e0tp" timestamp="1561686217"&gt;38&lt;/key&gt;&lt;/foreign-keys&gt;&lt;ref-type name="Pamphlet"&gt;24&lt;/ref-type&gt;&lt;contributors&gt;&lt;authors&gt;&lt;author&gt;FAO &lt;/author&gt;&lt;/authors&gt;&lt;/contributors&gt;&lt;titles&gt;&lt;title&gt;Fertilizer Legislation Soil Bulletin  20.&lt;/title&gt;&lt;/titles&gt;&lt;dates&gt;&lt;year&gt;1974&lt;/year&gt;&lt;/dates&gt;&lt;pub-location&gt; Rome, Italy.&lt;/pub-location&gt;&lt;urls&gt;&lt;/urls&gt;&lt;/record&gt;&lt;/Cite&gt;&lt;/EndNote&gt;</w:instrText>
      </w:r>
      <w:r w:rsidRPr="00417A14">
        <w:rPr>
          <w:rFonts w:ascii="Times New Roman" w:eastAsia="Times New Roman" w:hAnsi="Times New Roman"/>
          <w:sz w:val="24"/>
          <w:szCs w:val="24"/>
          <w:lang w:val="en-GB"/>
        </w:rPr>
        <w:fldChar w:fldCharType="separate"/>
      </w:r>
      <w:r w:rsidRPr="00417A14">
        <w:rPr>
          <w:rFonts w:ascii="Times New Roman" w:eastAsia="Times New Roman" w:hAnsi="Times New Roman"/>
          <w:noProof/>
          <w:sz w:val="24"/>
          <w:szCs w:val="24"/>
          <w:lang w:val="en-GB"/>
        </w:rPr>
        <w:t>(FAO 1974)</w:t>
      </w:r>
      <w:r w:rsidRPr="00417A14">
        <w:rPr>
          <w:rFonts w:ascii="Times New Roman" w:eastAsia="Times New Roman" w:hAnsi="Times New Roman"/>
          <w:sz w:val="24"/>
          <w:szCs w:val="24"/>
          <w:lang w:val="en-GB"/>
        </w:rPr>
        <w:fldChar w:fldCharType="end"/>
      </w:r>
      <w:r w:rsidRPr="00417A14">
        <w:rPr>
          <w:rFonts w:ascii="Times New Roman" w:eastAsia="Times New Roman" w:hAnsi="Times New Roman"/>
          <w:sz w:val="24"/>
          <w:szCs w:val="24"/>
          <w:lang w:val="en-GB"/>
        </w:rPr>
        <w:t>. These rates were not site-specific and moreover, a</w:t>
      </w:r>
      <w:r w:rsidRPr="00417A14">
        <w:rPr>
          <w:rFonts w:ascii="Times New Roman" w:hAnsi="Times New Roman"/>
          <w:bCs/>
          <w:sz w:val="24"/>
          <w:szCs w:val="24"/>
        </w:rPr>
        <w:t xml:space="preserve"> lot has changed since then due to climate change. Soil conditions are also no longer the same. Hence, there was a need for site-specific fertilizer recommendation that will enhance production in the region.</w:t>
      </w:r>
      <w:r w:rsidRPr="00417A14">
        <w:rPr>
          <w:rFonts w:ascii="Times New Roman" w:eastAsia="Times New Roman" w:hAnsi="Times New Roman"/>
          <w:sz w:val="24"/>
          <w:szCs w:val="24"/>
          <w:lang w:val="en-GB"/>
        </w:rPr>
        <w:t xml:space="preserve"> This could be the reason why the International Fertilizer Development Center </w:t>
      </w:r>
      <w:r w:rsidRPr="00417A14">
        <w:rPr>
          <w:rFonts w:ascii="Times New Roman" w:eastAsia="Times New Roman" w:hAnsi="Times New Roman"/>
          <w:sz w:val="24"/>
          <w:szCs w:val="24"/>
          <w:lang w:val="en-GB"/>
        </w:rPr>
        <w:fldChar w:fldCharType="begin"/>
      </w:r>
      <w:r w:rsidRPr="00417A14">
        <w:rPr>
          <w:rFonts w:ascii="Times New Roman" w:eastAsia="Times New Roman" w:hAnsi="Times New Roman"/>
          <w:sz w:val="24"/>
          <w:szCs w:val="24"/>
          <w:lang w:val="en-GB"/>
        </w:rPr>
        <w:instrText xml:space="preserve"> ADDIN EN.CITE &lt;EndNote&gt;&lt;Cite&gt;&lt;Author&gt;IFDC&lt;/Author&gt;&lt;Year&gt;2012&lt;/Year&gt;&lt;RecNum&gt;37&lt;/RecNum&gt;&lt;DisplayText&gt;(IFDC 2012)&lt;/DisplayText&gt;&lt;record&gt;&lt;rec-number&gt;37&lt;/rec-number&gt;&lt;foreign-keys&gt;&lt;key app="EN" db-id="2vz9r9ed7zadxne0a0t5e5572x0farz0e0tp" timestamp="1561679480"&gt;37&lt;/key&gt;&lt;/foreign-keys&gt;&lt;ref-type name="Electronic Book"&gt;44&lt;/ref-type&gt;&lt;contributors&gt;&lt;authors&gt;&lt;author&gt;International Fertilizer Development Center IFDC&lt;/author&gt;&lt;/authors&gt;&lt;/contributors&gt;&lt;titles&gt;&lt;title&gt;Ghana Fertilizer Assessment, in Support of the African Fertilizer and Agribusiness Partnership &lt;/title&gt;&lt;/titles&gt;&lt;pages&gt;49&lt;/pages&gt;&lt;dates&gt;&lt;year&gt;2012&lt;/year&gt;&lt;pub-dates&gt;&lt;date&gt;May 30, 2019&lt;/date&gt;&lt;/pub-dates&gt;&lt;/dates&gt;&lt;pub-location&gt;Albama USA&lt;/pub-location&gt;&lt;work-type&gt;Book&lt;/work-type&gt;&lt;urls&gt;&lt;/urls&gt;&lt;/record&gt;&lt;/Cite&gt;&lt;/EndNote&gt;</w:instrText>
      </w:r>
      <w:r w:rsidRPr="00417A14">
        <w:rPr>
          <w:rFonts w:ascii="Times New Roman" w:eastAsia="Times New Roman" w:hAnsi="Times New Roman"/>
          <w:sz w:val="24"/>
          <w:szCs w:val="24"/>
          <w:lang w:val="en-GB"/>
        </w:rPr>
        <w:fldChar w:fldCharType="separate"/>
      </w:r>
      <w:r w:rsidRPr="00417A14">
        <w:rPr>
          <w:rFonts w:ascii="Times New Roman" w:eastAsia="Times New Roman" w:hAnsi="Times New Roman"/>
          <w:noProof/>
          <w:sz w:val="24"/>
          <w:szCs w:val="24"/>
          <w:lang w:val="en-GB"/>
        </w:rPr>
        <w:t>(IFDC 2012)</w:t>
      </w:r>
      <w:r w:rsidRPr="00417A14">
        <w:rPr>
          <w:rFonts w:ascii="Times New Roman" w:eastAsia="Times New Roman" w:hAnsi="Times New Roman"/>
          <w:sz w:val="24"/>
          <w:szCs w:val="24"/>
          <w:lang w:val="en-GB"/>
        </w:rPr>
        <w:fldChar w:fldCharType="end"/>
      </w:r>
      <w:r w:rsidRPr="00417A14">
        <w:rPr>
          <w:rFonts w:ascii="Times New Roman" w:eastAsia="Times New Roman" w:hAnsi="Times New Roman"/>
          <w:sz w:val="24"/>
          <w:szCs w:val="24"/>
          <w:lang w:val="en-GB"/>
        </w:rPr>
        <w:t xml:space="preserve"> used nutrient removal factors to estimate fertilizer requirements for some food crops in the study area but surprisingly, cowpea was omitted from the list. This could also be due to the scarcity of data on cowpea fertilizer use in Ghana.</w:t>
      </w:r>
    </w:p>
    <w:p w14:paraId="7BC0647F" w14:textId="136163F5" w:rsidR="00587A53" w:rsidRPr="00417A14" w:rsidRDefault="00936876" w:rsidP="00936876">
      <w:pPr>
        <w:spacing w:line="480" w:lineRule="auto"/>
        <w:jc w:val="both"/>
        <w:rPr>
          <w:rFonts w:ascii="Times New Roman" w:hAnsi="Times New Roman"/>
          <w:noProof/>
          <w:sz w:val="24"/>
          <w:szCs w:val="24"/>
          <w:lang w:val="en-GB" w:eastAsia="en-GB"/>
        </w:rPr>
      </w:pPr>
      <w:r w:rsidRPr="00417A14">
        <w:rPr>
          <w:rFonts w:ascii="Times New Roman" w:eastAsiaTheme="minorHAnsi" w:hAnsi="Times New Roman"/>
          <w:sz w:val="24"/>
          <w:szCs w:val="24"/>
          <w:lang w:val="en-GB"/>
        </w:rPr>
        <w:t xml:space="preserve">Cowpea has been known to react differently to fertilizer nutrients. For example, </w:t>
      </w:r>
      <w:proofErr w:type="spellStart"/>
      <w:r w:rsidRPr="00417A14">
        <w:rPr>
          <w:rFonts w:ascii="Times New Roman" w:eastAsiaTheme="minorHAnsi" w:hAnsi="Times New Roman"/>
          <w:sz w:val="24"/>
          <w:szCs w:val="24"/>
          <w:lang w:val="en-GB"/>
        </w:rPr>
        <w:t>Megani</w:t>
      </w:r>
      <w:proofErr w:type="spellEnd"/>
      <w:r w:rsidRPr="00417A14">
        <w:rPr>
          <w:rFonts w:ascii="Times New Roman" w:eastAsiaTheme="minorHAnsi" w:hAnsi="Times New Roman"/>
          <w:sz w:val="24"/>
          <w:szCs w:val="24"/>
          <w:lang w:val="en-GB"/>
        </w:rPr>
        <w:t xml:space="preserve"> and </w:t>
      </w:r>
      <w:proofErr w:type="spellStart"/>
      <w:r w:rsidRPr="00417A14">
        <w:rPr>
          <w:rFonts w:ascii="Times New Roman" w:eastAsiaTheme="minorHAnsi" w:hAnsi="Times New Roman"/>
          <w:sz w:val="24"/>
          <w:szCs w:val="24"/>
          <w:lang w:val="en-GB"/>
        </w:rPr>
        <w:t>Kunchinda</w:t>
      </w:r>
      <w:proofErr w:type="spellEnd"/>
      <w:r w:rsidRPr="00417A14">
        <w:rPr>
          <w:rFonts w:ascii="Times New Roman" w:eastAsiaTheme="minorHAnsi" w:hAnsi="Times New Roman"/>
          <w:sz w:val="24"/>
          <w:szCs w:val="24"/>
          <w:lang w:val="en-GB"/>
        </w:rPr>
        <w:t xml:space="preserve"> </w:t>
      </w:r>
      <w:r w:rsidRPr="00417A14">
        <w:rPr>
          <w:rFonts w:ascii="Times New Roman" w:eastAsiaTheme="minorHAnsi" w:hAnsi="Times New Roman"/>
          <w:sz w:val="24"/>
          <w:szCs w:val="24"/>
          <w:lang w:val="en-GB"/>
        </w:rPr>
        <w:fldChar w:fldCharType="begin"/>
      </w:r>
      <w:r w:rsidRPr="00417A14">
        <w:rPr>
          <w:rFonts w:ascii="Times New Roman" w:eastAsiaTheme="minorHAnsi" w:hAnsi="Times New Roman"/>
          <w:sz w:val="24"/>
          <w:szCs w:val="24"/>
          <w:lang w:val="en-GB"/>
        </w:rPr>
        <w:instrText xml:space="preserve"> ADDIN EN.CITE &lt;EndNote&gt;&lt;Cite&gt;&lt;Author&gt;Magani&lt;/Author&gt;&lt;Year&gt;2009&lt;/Year&gt;&lt;RecNum&gt;7&lt;/RecNum&gt;&lt;DisplayText&gt;(Magani and Kuchinda 2009)&lt;/DisplayText&gt;&lt;record&gt;&lt;rec-number&gt;7&lt;/rec-number&gt;&lt;foreign-keys&gt;&lt;key app="EN" db-id="2vz9r9ed7zadxne0a0t5e5572x0farz0e0tp" timestamp="1561088616"&gt;7&lt;/key&gt;&lt;/foreign-keys&gt;&lt;ref-type name="Journal Article"&gt;17&lt;/ref-type&gt;&lt;contributors&gt;&lt;authors&gt;&lt;author&gt;Magani, IE&lt;/author&gt;&lt;author&gt;Kuchinda, C&lt;/author&gt;&lt;/authors&gt;&lt;/contributors&gt;&lt;titles&gt;&lt;title&gt;&lt;style face="normal" font="default" size="100%"&gt;Effect of phosphorus fertilizer on growth, yield and crude protein content of cowpea (&lt;/style&gt;&lt;style face="italic" font="default" size="100%"&gt;Vigna unguiculata&lt;/style&gt;&lt;style face="normal" font="default" size="100%"&gt; [L.] Walp) in Nigeria&lt;/style&gt;&lt;/title&gt;&lt;secondary-title&gt;J. Appl. Biosci.&lt;/secondary-title&gt;&lt;/titles&gt;&lt;periodical&gt;&lt;full-title&gt;Journal of Applied Bioscience&lt;/full-title&gt;&lt;abbr-1&gt;J Appl Biosci&lt;/abbr-1&gt;&lt;abbr-2&gt;J. Appl. Biosci.&lt;/abbr-2&gt;&lt;/periodical&gt;&lt;pages&gt;1387-1393&lt;/pages&gt;&lt;volume&gt;23&lt;/volume&gt;&lt;dates&gt;&lt;year&gt;2009&lt;/year&gt;&lt;/dates&gt;&lt;isbn&gt;1997-5902&lt;/isbn&gt;&lt;urls&gt;&lt;/urls&gt;&lt;/record&gt;&lt;/Cite&gt;&lt;/EndNote&gt;</w:instrText>
      </w:r>
      <w:r w:rsidRPr="00417A14">
        <w:rPr>
          <w:rFonts w:ascii="Times New Roman" w:eastAsiaTheme="minorHAnsi" w:hAnsi="Times New Roman"/>
          <w:sz w:val="24"/>
          <w:szCs w:val="24"/>
          <w:lang w:val="en-GB"/>
        </w:rPr>
        <w:fldChar w:fldCharType="separate"/>
      </w:r>
      <w:r w:rsidRPr="00417A14">
        <w:rPr>
          <w:rFonts w:ascii="Times New Roman" w:eastAsiaTheme="minorHAnsi" w:hAnsi="Times New Roman"/>
          <w:noProof/>
          <w:sz w:val="24"/>
          <w:szCs w:val="24"/>
          <w:lang w:val="en-GB"/>
        </w:rPr>
        <w:t>(Magani and Kuchinda 2009)</w:t>
      </w:r>
      <w:r w:rsidRPr="00417A14">
        <w:rPr>
          <w:rFonts w:ascii="Times New Roman" w:eastAsiaTheme="minorHAnsi" w:hAnsi="Times New Roman"/>
          <w:sz w:val="24"/>
          <w:szCs w:val="24"/>
          <w:lang w:val="en-GB"/>
        </w:rPr>
        <w:fldChar w:fldCharType="end"/>
      </w:r>
      <w:r w:rsidRPr="00417A14">
        <w:rPr>
          <w:rFonts w:ascii="Times New Roman" w:eastAsiaTheme="minorHAnsi" w:hAnsi="Times New Roman"/>
          <w:sz w:val="24"/>
          <w:szCs w:val="24"/>
          <w:lang w:val="en-GB"/>
        </w:rPr>
        <w:t xml:space="preserve"> reported a positive interaction between P fertilizer and cowpea grain yield and suggested that P fertilizer rec</w:t>
      </w:r>
      <w:r w:rsidRPr="00417A14">
        <w:rPr>
          <w:rFonts w:ascii="Times New Roman" w:hAnsi="Times New Roman"/>
          <w:noProof/>
          <w:sz w:val="24"/>
          <w:szCs w:val="24"/>
          <w:lang w:val="en-GB" w:eastAsia="en-GB"/>
        </w:rPr>
        <w:t xml:space="preserve">ommendation for cowpea should be location-specific. Although cowpea can fix N symbiotically, depending on fixed N may lead to short-term N deficiency during the </w:t>
      </w:r>
      <w:r w:rsidR="00587A53" w:rsidRPr="00417A14">
        <w:rPr>
          <w:rFonts w:ascii="Times New Roman" w:hAnsi="Times New Roman"/>
          <w:noProof/>
          <w:sz w:val="24"/>
          <w:szCs w:val="24"/>
          <w:lang w:val="en-GB" w:eastAsia="en-GB"/>
        </w:rPr>
        <w:t>seedling development</w:t>
      </w:r>
      <w:r w:rsidRPr="00417A14">
        <w:rPr>
          <w:rFonts w:ascii="Times New Roman" w:hAnsi="Times New Roman"/>
          <w:noProof/>
          <w:sz w:val="24"/>
          <w:szCs w:val="24"/>
          <w:lang w:val="en-GB" w:eastAsia="en-GB"/>
        </w:rPr>
        <w:t xml:space="preserve"> when the cotyledonary </w:t>
      </w:r>
      <w:r w:rsidRPr="00417A14">
        <w:rPr>
          <w:rFonts w:ascii="Times New Roman" w:hAnsi="Times New Roman"/>
          <w:noProof/>
          <w:sz w:val="24"/>
          <w:szCs w:val="24"/>
          <w:lang w:val="en-GB" w:eastAsia="en-GB"/>
        </w:rPr>
        <w:lastRenderedPageBreak/>
        <w:t xml:space="preserve">reserve has been used up </w:t>
      </w:r>
      <w:r w:rsidRPr="00417A14">
        <w:rPr>
          <w:rFonts w:ascii="Times New Roman" w:hAnsi="Times New Roman"/>
          <w:noProof/>
          <w:sz w:val="24"/>
          <w:szCs w:val="24"/>
          <w:lang w:val="en-GB" w:eastAsia="en-GB"/>
        </w:rPr>
        <w:fldChar w:fldCharType="begin"/>
      </w:r>
      <w:r w:rsidRPr="00417A14">
        <w:rPr>
          <w:rFonts w:ascii="Times New Roman" w:hAnsi="Times New Roman"/>
          <w:noProof/>
          <w:sz w:val="24"/>
          <w:szCs w:val="24"/>
          <w:lang w:val="en-GB" w:eastAsia="en-GB"/>
        </w:rPr>
        <w:instrText xml:space="preserve"> ADDIN EN.CITE &lt;EndNote&gt;&lt;Cite&gt;&lt;Author&gt;Abayomi&lt;/Author&gt;&lt;Year&gt;2008&lt;/Year&gt;&lt;RecNum&gt;15&lt;/RecNum&gt;&lt;DisplayText&gt;(Abayomi et al. 2008)&lt;/DisplayText&gt;&lt;record&gt;&lt;rec-number&gt;15&lt;/rec-number&gt;&lt;foreign-keys&gt;&lt;key app="EN" db-id="2vz9r9ed7zadxne0a0t5e5572x0farz0e0tp" timestamp="1561604870"&gt;15&lt;/key&gt;&lt;/foreign-keys&gt;&lt;ref-type name="Journal Article"&gt;17&lt;/ref-type&gt;&lt;contributors&gt;&lt;authors&gt;&lt;author&gt;Abayomi, YA&lt;/author&gt;&lt;author&gt;Ajibade, TV&lt;/author&gt;&lt;author&gt;Sammuel, OF&lt;/author&gt;&lt;author&gt;Saadudeen, BF&lt;/author&gt;&lt;/authors&gt;&lt;/contributors&gt;&lt;titles&gt;&lt;title&gt;&lt;style face="normal" font="default" size="100%"&gt;Growth and yield responses of cowpea (&lt;/style&gt;&lt;style face="italic" font="default" size="100%"&gt;Vigna unguiculata&lt;/style&gt;&lt;style face="normal" font="default" size="100%"&gt; (L.) Walp) genotypes to nitrogen fertilizer (NPK) application in the Southern Guinea Savanna zone of Nigeria&lt;/style&gt;&lt;/title&gt;&lt;secondary-title&gt;Asian J. Plant Sci&lt;/secondary-title&gt;&lt;/titles&gt;&lt;pages&gt;170-176&lt;/pages&gt;&lt;volume&gt;7&lt;/volume&gt;&lt;number&gt;2&lt;/number&gt;&lt;dates&gt;&lt;year&gt;2008&lt;/year&gt;&lt;/dates&gt;&lt;urls&gt;&lt;/urls&gt;&lt;/record&gt;&lt;/Cite&gt;&lt;/EndNote&gt;</w:instrText>
      </w:r>
      <w:r w:rsidRPr="00417A14">
        <w:rPr>
          <w:rFonts w:ascii="Times New Roman" w:hAnsi="Times New Roman"/>
          <w:noProof/>
          <w:sz w:val="24"/>
          <w:szCs w:val="24"/>
          <w:lang w:val="en-GB" w:eastAsia="en-GB"/>
        </w:rPr>
        <w:fldChar w:fldCharType="separate"/>
      </w:r>
      <w:r w:rsidRPr="00417A14">
        <w:rPr>
          <w:rFonts w:ascii="Times New Roman" w:hAnsi="Times New Roman"/>
          <w:noProof/>
          <w:sz w:val="24"/>
          <w:szCs w:val="24"/>
          <w:lang w:val="en-GB" w:eastAsia="en-GB"/>
        </w:rPr>
        <w:t>(Abayomi et al. 2008)</w:t>
      </w:r>
      <w:r w:rsidRPr="00417A14">
        <w:rPr>
          <w:rFonts w:ascii="Times New Roman" w:hAnsi="Times New Roman"/>
          <w:noProof/>
          <w:sz w:val="24"/>
          <w:szCs w:val="24"/>
          <w:lang w:val="en-GB" w:eastAsia="en-GB"/>
        </w:rPr>
        <w:fldChar w:fldCharType="end"/>
      </w:r>
      <w:r w:rsidRPr="00417A14">
        <w:rPr>
          <w:rFonts w:ascii="Times New Roman" w:hAnsi="Times New Roman"/>
          <w:noProof/>
          <w:sz w:val="24"/>
          <w:szCs w:val="24"/>
          <w:lang w:val="en-GB" w:eastAsia="en-GB"/>
        </w:rPr>
        <w:t xml:space="preserve">. Fening et al. </w:t>
      </w:r>
      <w:r w:rsidRPr="00417A14">
        <w:rPr>
          <w:rFonts w:ascii="Times New Roman" w:hAnsi="Times New Roman"/>
          <w:noProof/>
          <w:sz w:val="24"/>
          <w:szCs w:val="24"/>
          <w:lang w:val="en-GB" w:eastAsia="en-GB"/>
        </w:rPr>
        <w:fldChar w:fldCharType="begin"/>
      </w:r>
      <w:r w:rsidRPr="00417A14">
        <w:rPr>
          <w:rFonts w:ascii="Times New Roman" w:hAnsi="Times New Roman"/>
          <w:noProof/>
          <w:sz w:val="24"/>
          <w:szCs w:val="24"/>
          <w:lang w:val="en-GB" w:eastAsia="en-GB"/>
        </w:rPr>
        <w:instrText xml:space="preserve"> ADDIN EN.CITE &lt;EndNote&gt;&lt;Cite&gt;&lt;Author&gt;Fening&lt;/Author&gt;&lt;Year&gt;2001&lt;/Year&gt;&lt;RecNum&gt;91&lt;/RecNum&gt;&lt;DisplayText&gt;(Fening et al. 2001)&lt;/DisplayText&gt;&lt;record&gt;&lt;rec-number&gt;91&lt;/rec-number&gt;&lt;foreign-keys&gt;&lt;key app="EN" db-id="2vz9r9ed7zadxne0a0t5e5572x0farz0e0tp" timestamp="1563136386"&gt;91&lt;/key&gt;&lt;/foreign-keys&gt;&lt;ref-type name="Journal Article"&gt;17&lt;/ref-type&gt;&lt;contributors&gt;&lt;authors&gt;&lt;author&gt;Fening, JO&lt;/author&gt;&lt;author&gt;Dogbe, W&lt;/author&gt;&lt;author&gt;Danso, SKA&lt;/author&gt;&lt;/authors&gt;&lt;/contributors&gt;&lt;titles&gt;&lt;title&gt;&lt;style face="normal" font="default" size="100%"&gt;Assessment of the potential to improve N fixation by cowpea (&lt;/style&gt;&lt;style face="italic" font="default" size="100%"&gt;Vigna unguiculata &lt;/style&gt;&lt;style face="normal" font="default" size="100%"&gt;(L.) Walp.) in Ghanaian soils&lt;/style&gt;&lt;/title&gt;&lt;secondary-title&gt;American journal of alternative agriculture&lt;/secondary-title&gt;&lt;/titles&gt;&lt;periodical&gt;&lt;full-title&gt;American Journal of Alternative Agriculture&lt;/full-title&gt;&lt;abbr-1&gt;Am J Altern Agric&lt;/abbr-1&gt;&lt;abbr-2&gt;Am. J. Altern. Agric.&lt;/abbr-2&gt;&lt;/periodical&gt;&lt;pages&gt;57-65&lt;/pages&gt;&lt;volume&gt;16&lt;/volume&gt;&lt;number&gt;2&lt;/number&gt;&lt;dates&gt;&lt;year&gt;2001&lt;/year&gt;&lt;/dates&gt;&lt;isbn&gt;1478-5498&lt;/isbn&gt;&lt;urls&gt;&lt;/urls&gt;&lt;/record&gt;&lt;/Cite&gt;&lt;/EndNote&gt;</w:instrText>
      </w:r>
      <w:r w:rsidRPr="00417A14">
        <w:rPr>
          <w:rFonts w:ascii="Times New Roman" w:hAnsi="Times New Roman"/>
          <w:noProof/>
          <w:sz w:val="24"/>
          <w:szCs w:val="24"/>
          <w:lang w:val="en-GB" w:eastAsia="en-GB"/>
        </w:rPr>
        <w:fldChar w:fldCharType="separate"/>
      </w:r>
      <w:r w:rsidRPr="00417A14">
        <w:rPr>
          <w:rFonts w:ascii="Times New Roman" w:hAnsi="Times New Roman"/>
          <w:noProof/>
          <w:sz w:val="24"/>
          <w:szCs w:val="24"/>
          <w:lang w:val="en-GB" w:eastAsia="en-GB"/>
        </w:rPr>
        <w:t>(Fening et al. 2001)</w:t>
      </w:r>
      <w:r w:rsidRPr="00417A14">
        <w:rPr>
          <w:rFonts w:ascii="Times New Roman" w:hAnsi="Times New Roman"/>
          <w:noProof/>
          <w:sz w:val="24"/>
          <w:szCs w:val="24"/>
          <w:lang w:val="en-GB" w:eastAsia="en-GB"/>
        </w:rPr>
        <w:fldChar w:fldCharType="end"/>
      </w:r>
      <w:r w:rsidRPr="00417A14">
        <w:rPr>
          <w:rFonts w:ascii="Times New Roman" w:hAnsi="Times New Roman"/>
          <w:noProof/>
          <w:sz w:val="24"/>
          <w:szCs w:val="24"/>
          <w:lang w:val="en-GB" w:eastAsia="en-GB"/>
        </w:rPr>
        <w:t xml:space="preserve"> reported </w:t>
      </w:r>
      <w:r w:rsidR="00587A53" w:rsidRPr="00417A14">
        <w:rPr>
          <w:rFonts w:ascii="Times New Roman" w:hAnsi="Times New Roman"/>
          <w:noProof/>
          <w:sz w:val="24"/>
          <w:szCs w:val="24"/>
          <w:lang w:val="en-GB" w:eastAsia="en-GB"/>
        </w:rPr>
        <w:t>cowpea's response</w:t>
      </w:r>
      <w:r w:rsidRPr="00417A14">
        <w:rPr>
          <w:rFonts w:ascii="Times New Roman" w:hAnsi="Times New Roman"/>
          <w:noProof/>
          <w:sz w:val="24"/>
          <w:szCs w:val="24"/>
          <w:lang w:val="en-GB" w:eastAsia="en-GB"/>
        </w:rPr>
        <w:t xml:space="preserve"> to increasing N fertilizer application in 20 soils sampled from 5 ecological zones of Ghana studied. This could be because N fixation was not satisfying N nutrition for optimal growth and yield of cowpea</w:t>
      </w:r>
      <w:r w:rsidR="00587A53" w:rsidRPr="00417A14">
        <w:rPr>
          <w:rFonts w:ascii="Times New Roman" w:hAnsi="Times New Roman"/>
          <w:noProof/>
          <w:sz w:val="24"/>
          <w:szCs w:val="24"/>
          <w:lang w:val="en-GB" w:eastAsia="en-GB"/>
        </w:rPr>
        <w:t>.</w:t>
      </w:r>
    </w:p>
    <w:p w14:paraId="64CEE31A" w14:textId="191F4427" w:rsidR="00936876" w:rsidRPr="00417A14" w:rsidRDefault="00936876" w:rsidP="00936876">
      <w:pPr>
        <w:spacing w:line="480" w:lineRule="auto"/>
        <w:jc w:val="both"/>
        <w:rPr>
          <w:rFonts w:ascii="Times New Roman" w:eastAsia="Times New Roman" w:hAnsi="Times New Roman"/>
          <w:sz w:val="24"/>
          <w:szCs w:val="24"/>
          <w:lang w:val="en-GB"/>
        </w:rPr>
      </w:pPr>
      <w:r w:rsidRPr="00417A14">
        <w:rPr>
          <w:rFonts w:ascii="Times New Roman" w:hAnsi="Times New Roman"/>
          <w:noProof/>
          <w:sz w:val="24"/>
          <w:szCs w:val="24"/>
          <w:lang w:val="en-GB" w:eastAsia="en-GB"/>
        </w:rPr>
        <w:t xml:space="preserve">Hence, relying on its ability to fix N may not translate into a better yield of cowpea. It has been reported that cowpea scarcely satisfies its N requirement in poor soils. Hence, fertilization was recommended to enhance crop performance </w:t>
      </w:r>
      <w:r w:rsidRPr="00417A14">
        <w:rPr>
          <w:rFonts w:ascii="Times New Roman" w:eastAsiaTheme="minorHAnsi" w:hAnsi="Times New Roman"/>
          <w:sz w:val="24"/>
          <w:szCs w:val="24"/>
          <w:lang w:val="en-GB"/>
        </w:rPr>
        <w:fldChar w:fldCharType="begin"/>
      </w:r>
      <w:r w:rsidRPr="00417A14">
        <w:rPr>
          <w:rFonts w:ascii="Times New Roman" w:eastAsiaTheme="minorHAnsi" w:hAnsi="Times New Roman"/>
          <w:sz w:val="24"/>
          <w:szCs w:val="24"/>
          <w:lang w:val="en-GB"/>
        </w:rPr>
        <w:instrText xml:space="preserve"> ADDIN EN.CITE &lt;EndNote&gt;&lt;Cite&gt;&lt;Author&gt;Chiezey&lt;/Author&gt;&lt;Year&gt;1990&lt;/Year&gt;&lt;RecNum&gt;16&lt;/RecNum&gt;&lt;DisplayText&gt;(Chiezey et al. 1990)&lt;/DisplayText&gt;&lt;record&gt;&lt;rec-number&gt;16&lt;/rec-number&gt;&lt;foreign-keys&gt;&lt;key app="EN" db-id="2vz9r9ed7zadxne0a0t5e5572x0farz0e0tp" timestamp="1561604928"&gt;16&lt;/key&gt;&lt;/foreign-keys&gt;&lt;ref-type name="Journal Article"&gt;17&lt;/ref-type&gt;&lt;contributors&gt;&lt;authors&gt;&lt;author&gt;Chiezey, UF&lt;/author&gt;&lt;author&gt;Katung, PD&lt;/author&gt;&lt;author&gt;Yayock, JY&lt;/author&gt;&lt;/authors&gt;&lt;/contributors&gt;&lt;titles&gt;&lt;title&gt;&lt;style face="normal" font="default" size="100%"&gt;Response of cowpea (&lt;/style&gt;&lt;style face="italic" font="default" size="100%"&gt;V. unguiculata &lt;/style&gt;&lt;style face="normal" font="default" size="100%"&gt;(L.) Walp.), var. sampea-7 to nitrogen and phosphorus following a maize crop&lt;/style&gt;&lt;/title&gt;&lt;secondary-title&gt;Samaru J. Agri. Edu.&lt;/secondary-title&gt;&lt;/titles&gt;&lt;pages&gt;161-168&lt;/pages&gt;&lt;volume&gt;4&lt;/volume&gt;&lt;number&gt;1&lt;/number&gt;&lt;dates&gt;&lt;year&gt;1990&lt;/year&gt;&lt;/dates&gt;&lt;urls&gt;&lt;/urls&gt;&lt;/record&gt;&lt;/Cite&gt;&lt;/EndNote&gt;</w:instrText>
      </w:r>
      <w:r w:rsidRPr="00417A14">
        <w:rPr>
          <w:rFonts w:ascii="Times New Roman" w:eastAsiaTheme="minorHAnsi" w:hAnsi="Times New Roman"/>
          <w:sz w:val="24"/>
          <w:szCs w:val="24"/>
          <w:lang w:val="en-GB"/>
        </w:rPr>
        <w:fldChar w:fldCharType="separate"/>
      </w:r>
      <w:r w:rsidRPr="00417A14">
        <w:rPr>
          <w:rFonts w:ascii="Times New Roman" w:eastAsiaTheme="minorHAnsi" w:hAnsi="Times New Roman"/>
          <w:noProof/>
          <w:sz w:val="24"/>
          <w:szCs w:val="24"/>
          <w:lang w:val="en-GB"/>
        </w:rPr>
        <w:t>(Chiezey et al. 1990)</w:t>
      </w:r>
      <w:r w:rsidRPr="00417A14">
        <w:rPr>
          <w:rFonts w:ascii="Times New Roman" w:eastAsiaTheme="minorHAnsi" w:hAnsi="Times New Roman"/>
          <w:sz w:val="24"/>
          <w:szCs w:val="24"/>
          <w:lang w:val="en-GB"/>
        </w:rPr>
        <w:fldChar w:fldCharType="end"/>
      </w:r>
      <w:r w:rsidRPr="00417A14">
        <w:rPr>
          <w:rFonts w:ascii="Times New Roman" w:hAnsi="Times New Roman"/>
          <w:noProof/>
          <w:sz w:val="24"/>
          <w:szCs w:val="24"/>
          <w:lang w:val="en-GB" w:eastAsia="en-GB"/>
        </w:rPr>
        <w:t xml:space="preserve">. According to </w:t>
      </w:r>
      <w:r w:rsidRPr="00417A14">
        <w:rPr>
          <w:rFonts w:ascii="Times New Roman" w:hAnsi="Times New Roman"/>
          <w:noProof/>
          <w:sz w:val="24"/>
          <w:szCs w:val="24"/>
          <w:lang w:val="en-GB" w:eastAsia="en-GB"/>
        </w:rPr>
        <w:fldChar w:fldCharType="begin"/>
      </w:r>
      <w:r w:rsidRPr="00417A14">
        <w:rPr>
          <w:rFonts w:ascii="Times New Roman" w:hAnsi="Times New Roman"/>
          <w:noProof/>
          <w:sz w:val="24"/>
          <w:szCs w:val="24"/>
          <w:lang w:val="en-GB" w:eastAsia="en-GB"/>
        </w:rPr>
        <w:instrText xml:space="preserve"> ADDIN EN.CITE &lt;EndNote&gt;&lt;Cite&gt;&lt;Author&gt;Fosu&lt;/Author&gt;&lt;Year&gt;2008&lt;/Year&gt;&lt;RecNum&gt;11&lt;/RecNum&gt;&lt;DisplayText&gt;(Fosu and Tetteh 2008)&lt;/DisplayText&gt;&lt;record&gt;&lt;rec-number&gt;11&lt;/rec-number&gt;&lt;foreign-keys&gt;&lt;key app="EN" db-id="2vz9r9ed7zadxne0a0t5e5572x0farz0e0tp" timestamp="1561604281"&gt;11&lt;/key&gt;&lt;/foreign-keys&gt;&lt;ref-type name="Journal Article"&gt;17&lt;/ref-type&gt;&lt;contributors&gt;&lt;authors&gt;&lt;author&gt;Fosu, M&lt;/author&gt;&lt;author&gt;Tetteh, FM&lt;/author&gt;&lt;/authors&gt;&lt;/contributors&gt;&lt;titles&gt;&lt;title&gt;Soil Organic Matter and Nitrogen in Ghanaian Soils: A review&lt;/title&gt;&lt;secondary-title&gt;Synthesis of soil, water and nutrient management research in the Volta Basin&lt;/secondary-title&gt;&lt;/titles&gt;&lt;pages&gt;67&lt;/pages&gt;&lt;dates&gt;&lt;year&gt;2008&lt;/year&gt;&lt;/dates&gt;&lt;urls&gt;&lt;/urls&gt;&lt;/record&gt;&lt;/Cite&gt;&lt;/EndNote&gt;</w:instrText>
      </w:r>
      <w:r w:rsidRPr="00417A14">
        <w:rPr>
          <w:rFonts w:ascii="Times New Roman" w:hAnsi="Times New Roman"/>
          <w:noProof/>
          <w:sz w:val="24"/>
          <w:szCs w:val="24"/>
          <w:lang w:val="en-GB" w:eastAsia="en-GB"/>
        </w:rPr>
        <w:fldChar w:fldCharType="separate"/>
      </w:r>
      <w:r w:rsidRPr="00417A14">
        <w:rPr>
          <w:rFonts w:ascii="Times New Roman" w:hAnsi="Times New Roman"/>
          <w:noProof/>
          <w:sz w:val="24"/>
          <w:szCs w:val="24"/>
          <w:lang w:val="en-GB" w:eastAsia="en-GB"/>
        </w:rPr>
        <w:t>(Fosu and Tetteh 2008)</w:t>
      </w:r>
      <w:r w:rsidRPr="00417A14">
        <w:rPr>
          <w:rFonts w:ascii="Times New Roman" w:hAnsi="Times New Roman"/>
          <w:noProof/>
          <w:sz w:val="24"/>
          <w:szCs w:val="24"/>
          <w:lang w:val="en-GB" w:eastAsia="en-GB"/>
        </w:rPr>
        <w:fldChar w:fldCharType="end"/>
      </w:r>
      <w:r w:rsidRPr="00417A14">
        <w:rPr>
          <w:rFonts w:ascii="Times New Roman" w:hAnsi="Times New Roman"/>
          <w:noProof/>
          <w:sz w:val="24"/>
          <w:szCs w:val="24"/>
          <w:lang w:val="en-GB" w:eastAsia="en-GB"/>
        </w:rPr>
        <w:t xml:space="preserve">,  savanna soils of Ghana contain a high </w:t>
      </w:r>
      <w:r w:rsidR="00587A53" w:rsidRPr="00417A14">
        <w:rPr>
          <w:rFonts w:ascii="Times New Roman" w:hAnsi="Times New Roman"/>
          <w:noProof/>
          <w:sz w:val="24"/>
          <w:szCs w:val="24"/>
          <w:lang w:val="en-GB" w:eastAsia="en-GB"/>
        </w:rPr>
        <w:t>K level</w:t>
      </w:r>
      <w:r w:rsidRPr="00417A14">
        <w:rPr>
          <w:rFonts w:ascii="Times New Roman" w:hAnsi="Times New Roman"/>
          <w:noProof/>
          <w:sz w:val="24"/>
          <w:szCs w:val="24"/>
          <w:lang w:val="en-GB" w:eastAsia="en-GB"/>
        </w:rPr>
        <w:t xml:space="preserve"> to support legume production. Therefore, omitting K during fertilizer application may not reduce yield immediately.  However, continuous removal of K through crop harvest will eventually reduce the inherent supplies to a yield-limiting level. Potassium has been reported to be important for cowpea in dry conditions by encouraging vegetative growth and improving physiological parameters that stimulate grain yield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&lt;EndNote&gt;&lt;Cite&gt;&lt;Author&gt;Abed&lt;/Author&gt;&lt;Year&gt;2017&lt;/Year&gt;&lt;RecNum&gt;33&lt;/RecNum&gt;&lt;DisplayText&gt;(Abed 2017)&lt;/DisplayText&gt;&lt;record&gt;&lt;rec-number&gt;33&lt;/rec-number&gt;&lt;foreign-keys&gt;&lt;key app="EN" db-id="2vz9r9ed7zadxne0a0t5e5572x0farz0e0tp" timestamp="1561607536"&gt;33&lt;/key&gt;&lt;/foreign-keys&gt;&lt;ref-type name="Journal Article"&gt;17&lt;/ref-type&gt;&lt;contributors&gt;&lt;authors&gt;&lt;author&gt;Abed, Radhi Dheyab&lt;/author&gt;&lt;/authors&gt;&lt;/contributors&gt;&lt;titles&gt;&lt;title&gt;Effects of Genotypes and Potassium Rates on Some of Cowpea Traits Heritability&lt;/title&gt;&lt;secondary-title&gt;Asian J. Crop Sci.&lt;/secondary-title&gt;&lt;/titles&gt;&lt;pages&gt;11-19&lt;/pages&gt;&lt;volume&gt;9&lt;/volume&gt;&lt;number&gt;1&lt;/number&gt;&lt;dates&gt;&lt;year&gt;2017&lt;/year&gt;&lt;/dates&gt;&lt;urls&gt;&lt;/urls&gt;&lt;/record&gt;&lt;/Cite&gt;&lt;/EndNote&gt;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(Abed 2017)</w:t>
      </w:r>
      <w:r w:rsidRPr="00417A14">
        <w:rPr>
          <w:rFonts w:ascii="Times New Roman" w:hAnsi="Times New Roman"/>
          <w:sz w:val="24"/>
          <w:szCs w:val="24"/>
        </w:rPr>
        <w:fldChar w:fldCharType="end"/>
      </w:r>
      <w:r w:rsidRPr="00417A14">
        <w:rPr>
          <w:rFonts w:ascii="Times New Roman" w:hAnsi="Times New Roman"/>
          <w:noProof/>
          <w:sz w:val="24"/>
          <w:szCs w:val="24"/>
          <w:lang w:val="en-GB" w:eastAsia="en-GB"/>
        </w:rPr>
        <w:t>.</w:t>
      </w:r>
      <w:r w:rsidRPr="00417A14">
        <w:rPr>
          <w:rFonts w:ascii="Times New Roman" w:hAnsi="Times New Roman"/>
          <w:sz w:val="24"/>
          <w:szCs w:val="24"/>
        </w:rPr>
        <w:t xml:space="preserve"> There is therefore the need for farmers to ensure appropriate fertilization after nutrient export through crop harvest to reduce a decline in the soil nutrient pool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&lt;EndNote&gt;&lt;Cite&gt;&lt;Author&gt;Hossain&lt;/Author&gt;&lt;Year&gt;2006&lt;/Year&gt;&lt;RecNum&gt;34&lt;/RecNum&gt;&lt;DisplayText&gt;(Hossain 2006)&lt;/DisplayText&gt;&lt;record&gt;&lt;rec-number&gt;34&lt;/rec-number&gt;&lt;foreign-keys&gt;&lt;key app="EN" db-id="2vz9r9ed7zadxne0a0t5e5572x0farz0e0tp" timestamp="1561607744"&gt;34&lt;/key&gt;&lt;/foreign-keys&gt;&lt;ref-type name="Journal Article"&gt;17&lt;/ref-type&gt;&lt;contributors&gt;&lt;authors&gt;&lt;author&gt;Hossain, MF&lt;/author&gt;&lt;/authors&gt;&lt;/contributors&gt;&lt;titles&gt;&lt;title&gt;Nutrients removed in harvested portion of crop by continuous corn receiving organic and inorganic fertilizers&lt;/title&gt;&lt;secondary-title&gt;J. Plant Sci.&lt;/secondary-title&gt;&lt;/titles&gt;&lt;pages&gt;264-272&lt;/pages&gt;&lt;volume&gt;1&lt;/volume&gt;&lt;number&gt;3&lt;/number&gt;&lt;dates&gt;&lt;year&gt;2006&lt;/year&gt;&lt;/dates&gt;&lt;isbn&gt;1816-4951&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(Hossain 2006)</w:t>
      </w:r>
      <w:r w:rsidRPr="00417A14">
        <w:rPr>
          <w:rFonts w:ascii="Times New Roman" w:hAnsi="Times New Roman"/>
          <w:sz w:val="24"/>
          <w:szCs w:val="24"/>
        </w:rPr>
        <w:fldChar w:fldCharType="end"/>
      </w:r>
      <w:r w:rsidRPr="00417A14">
        <w:rPr>
          <w:rFonts w:ascii="Times New Roman" w:hAnsi="Times New Roman"/>
          <w:sz w:val="24"/>
          <w:szCs w:val="24"/>
        </w:rPr>
        <w:t xml:space="preserve">. It was hypothesized that cowpea production will be improved using site-specific NPK fertilizer application rate. </w:t>
      </w:r>
      <w:r w:rsidRPr="00417A14">
        <w:rPr>
          <w:rFonts w:ascii="Times New Roman" w:hAnsi="Times New Roman"/>
          <w:bCs/>
          <w:sz w:val="24"/>
          <w:szCs w:val="24"/>
        </w:rPr>
        <w:t>We, therefore set out to determine the effect of NPK Fertilizer application on the growth, yield, and nutrient uptake of cowpea in the</w:t>
      </w:r>
      <w:r w:rsidRPr="00417A14">
        <w:rPr>
          <w:rFonts w:ascii="Times New Roman" w:eastAsia="Times New Roman" w:hAnsi="Times New Roman"/>
          <w:sz w:val="24"/>
          <w:szCs w:val="24"/>
          <w:lang w:val="en-GB"/>
        </w:rPr>
        <w:t xml:space="preserve"> guinea savanna zone of Ghana. This we hope will stimulate similar site-specific studies in other parts of the world.</w:t>
      </w:r>
    </w:p>
    <w:p w14:paraId="6FEB4E1C" w14:textId="77777777" w:rsidR="00936876" w:rsidRPr="00417A14" w:rsidRDefault="00936876" w:rsidP="00936876">
      <w:pPr>
        <w:pStyle w:val="Heading1"/>
        <w:spacing w:before="0" w:beforeAutospacing="0" w:after="0" w:afterAutospacing="0" w:line="480" w:lineRule="auto"/>
      </w:pPr>
      <w:r w:rsidRPr="00417A14">
        <w:t>Materials and Methods</w:t>
      </w:r>
    </w:p>
    <w:p w14:paraId="31207711" w14:textId="77777777" w:rsidR="00936876" w:rsidRPr="00417A14" w:rsidRDefault="00936876" w:rsidP="00936876">
      <w:pPr>
        <w:pStyle w:val="Heading2"/>
        <w:spacing w:line="480" w:lineRule="auto"/>
      </w:pPr>
      <w:r w:rsidRPr="00417A14">
        <w:t>Study Sites</w:t>
      </w:r>
    </w:p>
    <w:p w14:paraId="45849A6C" w14:textId="7F5D5CA8" w:rsidR="00936876" w:rsidRPr="00417A14" w:rsidRDefault="00936876" w:rsidP="00936876">
      <w:pPr>
        <w:tabs>
          <w:tab w:val="left" w:pos="2970"/>
        </w:tabs>
        <w:spacing w:after="0" w:line="480" w:lineRule="auto"/>
        <w:jc w:val="both"/>
        <w:rPr>
          <w:rFonts w:ascii="Times New Roman" w:hAnsi="Times New Roman"/>
          <w:sz w:val="24"/>
          <w:szCs w:val="24"/>
        </w:rPr>
      </w:pPr>
      <w:r w:rsidRPr="00417A14">
        <w:rPr>
          <w:rFonts w:ascii="Times New Roman" w:hAnsi="Times New Roman"/>
          <w:noProof/>
          <w:sz w:val="24"/>
          <w:szCs w:val="24"/>
        </w:rPr>
        <w:t>The study was carried on a benchmark soil at Nyoli in the Wa West District of the Upper West region of Ghana, West Africa. This area is classified as part of the breadbasket region of Northern Ghana</w:t>
      </w:r>
      <w:r w:rsidR="00587A53" w:rsidRPr="00417A14">
        <w:rPr>
          <w:rFonts w:ascii="Times New Roman" w:hAnsi="Times New Roman"/>
          <w:noProof/>
          <w:sz w:val="24"/>
          <w:szCs w:val="24"/>
        </w:rPr>
        <w:t>,</w:t>
      </w:r>
      <w:r w:rsidRPr="00417A14">
        <w:rPr>
          <w:rFonts w:ascii="Times New Roman" w:hAnsi="Times New Roman"/>
          <w:noProof/>
          <w:sz w:val="24"/>
          <w:szCs w:val="24"/>
        </w:rPr>
        <w:t xml:space="preserve"> but the soils are poor. It </w:t>
      </w:r>
      <w:r w:rsidRPr="00417A14">
        <w:rPr>
          <w:rFonts w:ascii="Times New Roman" w:hAnsi="Times New Roman"/>
          <w:sz w:val="24"/>
          <w:szCs w:val="24"/>
        </w:rPr>
        <w:t>lies geographically between longitudes 9</w:t>
      </w:r>
      <w:r w:rsidRPr="00417A14">
        <w:rPr>
          <w:rFonts w:ascii="Times New Roman" w:hAnsi="Times New Roman"/>
          <w:sz w:val="24"/>
          <w:szCs w:val="24"/>
          <w:vertAlign w:val="superscript"/>
        </w:rPr>
        <w:t>o</w:t>
      </w:r>
      <w:r w:rsidRPr="00417A14">
        <w:rPr>
          <w:rFonts w:ascii="Times New Roman" w:hAnsi="Times New Roman"/>
          <w:sz w:val="24"/>
          <w:szCs w:val="24"/>
        </w:rPr>
        <w:t xml:space="preserve"> 40ʹ </w:t>
      </w:r>
      <w:r w:rsidRPr="00417A14">
        <w:rPr>
          <w:rFonts w:ascii="Times New Roman" w:hAnsi="Times New Roman"/>
          <w:sz w:val="24"/>
          <w:szCs w:val="24"/>
        </w:rPr>
        <w:lastRenderedPageBreak/>
        <w:t>and 9</w:t>
      </w:r>
      <w:r w:rsidRPr="00417A14">
        <w:rPr>
          <w:rFonts w:ascii="Times New Roman" w:hAnsi="Times New Roman"/>
          <w:sz w:val="24"/>
          <w:szCs w:val="24"/>
          <w:vertAlign w:val="superscript"/>
        </w:rPr>
        <w:t>o</w:t>
      </w:r>
      <w:r w:rsidRPr="00417A14">
        <w:rPr>
          <w:rFonts w:ascii="Times New Roman" w:hAnsi="Times New Roman"/>
          <w:sz w:val="24"/>
          <w:szCs w:val="24"/>
        </w:rPr>
        <w:t xml:space="preserve"> 46ʹ N and Latitudes 2</w:t>
      </w:r>
      <w:r w:rsidRPr="00417A14">
        <w:rPr>
          <w:rFonts w:ascii="Times New Roman" w:hAnsi="Times New Roman"/>
          <w:sz w:val="24"/>
          <w:szCs w:val="24"/>
          <w:vertAlign w:val="superscript"/>
        </w:rPr>
        <w:t>o</w:t>
      </w:r>
      <w:r w:rsidRPr="00417A14">
        <w:rPr>
          <w:rFonts w:ascii="Times New Roman" w:hAnsi="Times New Roman"/>
          <w:sz w:val="24"/>
          <w:szCs w:val="24"/>
        </w:rPr>
        <w:t xml:space="preserve"> 30ʹ and 2</w:t>
      </w:r>
      <w:r w:rsidRPr="00417A14">
        <w:rPr>
          <w:rFonts w:ascii="Times New Roman" w:hAnsi="Times New Roman"/>
          <w:sz w:val="24"/>
          <w:szCs w:val="24"/>
          <w:vertAlign w:val="superscript"/>
        </w:rPr>
        <w:t>o</w:t>
      </w:r>
      <w:r w:rsidRPr="00417A14">
        <w:rPr>
          <w:rFonts w:ascii="Times New Roman" w:hAnsi="Times New Roman"/>
          <w:sz w:val="24"/>
          <w:szCs w:val="24"/>
        </w:rPr>
        <w:t xml:space="preserve"> 32ʹ W. The site belongs to Varempere soil series which is classified as Ferric Luvisol according to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&lt;EndNote&gt;&lt;Cite&gt;&lt;Author&gt;Wrb&lt;/Author&gt;&lt;Year&gt;2014&lt;/Year&gt;&lt;RecNum&gt;582&lt;/RecNum&gt;&lt;DisplayText&gt;(Wrb 2014)&lt;/DisplayText&gt;&lt;record&gt;&lt;rec-number&gt;582&lt;/rec-number&gt;&lt;foreign-keys&gt;&lt;key app="EN" db-id="2vz9r9ed7zadxne0a0t5e5572x0farz0e0tp" timestamp="1578379920"&gt;582&lt;/key&gt;&lt;/foreign-keys&gt;&lt;ref-type name="Journal Article"&gt;17&lt;/ref-type&gt;&lt;contributors&gt;&lt;authors&gt;&lt;author&gt;Wrb, IWG&lt;/author&gt;&lt;/authors&gt;&lt;/contributors&gt;&lt;titles&gt;&lt;title&gt;World reference base for soil resources 2014&lt;/title&gt;&lt;secondary-title&gt;International soil classification system for naming soils and creating legends for soil maps,&lt;/secondary-title&gt;&lt;/titles&gt;&lt;number&gt;106&lt;/number&gt;&lt;dates&gt;&lt;year&gt;2014&lt;/year&gt;&lt;/dates&gt;&lt;urls&gt;&lt;/urls&gt;&lt;/record&gt;&lt;/Cite&gt;&lt;/EndNote&gt;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(Wrb 2014)</w:t>
      </w:r>
      <w:r w:rsidRPr="00417A14">
        <w:rPr>
          <w:rFonts w:ascii="Times New Roman" w:hAnsi="Times New Roman"/>
          <w:sz w:val="24"/>
          <w:szCs w:val="24"/>
        </w:rPr>
        <w:fldChar w:fldCharType="end"/>
      </w:r>
      <w:r w:rsidRPr="00417A14">
        <w:rPr>
          <w:rFonts w:ascii="Times New Roman" w:hAnsi="Times New Roman"/>
          <w:sz w:val="24"/>
          <w:szCs w:val="24"/>
        </w:rPr>
        <w:t xml:space="preserve"> and experiences a unimodal pattern of rainfall annually,  ranging from </w:t>
      </w:r>
      <w:r w:rsidRPr="00417A14">
        <w:rPr>
          <w:rFonts w:ascii="Times New Roman" w:eastAsia="Times New Roman" w:hAnsi="Times New Roman"/>
          <w:sz w:val="24"/>
          <w:szCs w:val="24"/>
        </w:rPr>
        <w:t>840 to 1400 mm.</w:t>
      </w:r>
    </w:p>
    <w:p w14:paraId="0B24F382" w14:textId="77777777" w:rsidR="00936876" w:rsidRPr="00417A14" w:rsidRDefault="00936876" w:rsidP="00936876">
      <w:pPr>
        <w:pStyle w:val="Heading2"/>
        <w:spacing w:line="480" w:lineRule="auto"/>
      </w:pPr>
      <w:r w:rsidRPr="00417A14">
        <w:t>Field experiment</w:t>
      </w:r>
    </w:p>
    <w:p w14:paraId="239E86A3" w14:textId="0095BD5A" w:rsidR="00936876" w:rsidRPr="00417A14" w:rsidRDefault="00936876" w:rsidP="00936876">
      <w:pPr>
        <w:tabs>
          <w:tab w:val="left" w:pos="567"/>
          <w:tab w:val="left" w:pos="2970"/>
        </w:tabs>
        <w:autoSpaceDE w:val="0"/>
        <w:autoSpaceDN w:val="0"/>
        <w:adjustRightInd w:val="0"/>
        <w:spacing w:after="0" w:line="480" w:lineRule="auto"/>
        <w:ind w:hanging="11"/>
        <w:contextualSpacing/>
        <w:jc w:val="both"/>
        <w:rPr>
          <w:rFonts w:ascii="Times New Roman" w:hAnsi="Times New Roman"/>
          <w:sz w:val="24"/>
          <w:szCs w:val="24"/>
        </w:rPr>
      </w:pPr>
      <w:r w:rsidRPr="00417A14">
        <w:rPr>
          <w:rFonts w:ascii="Times New Roman" w:hAnsi="Times New Roman"/>
          <w:sz w:val="24"/>
          <w:szCs w:val="24"/>
        </w:rPr>
        <w:t xml:space="preserve">Before ploughing, a composite soil sample of the experimental plot was taken and analyzed for its physical and chemical properties (Table 1). The plot size was 4 m x 6 m with a planting distance of 60 cm × 20 cm. Omondaw cowpea variety obtained at the </w:t>
      </w:r>
      <w:r w:rsidRPr="00417A14">
        <w:rPr>
          <w:rFonts w:ascii="Times New Roman" w:hAnsi="Times New Roman"/>
          <w:bCs/>
          <w:sz w:val="24"/>
          <w:szCs w:val="24"/>
        </w:rPr>
        <w:t>Ministry of Food and Agriculture (</w:t>
      </w:r>
      <w:proofErr w:type="spellStart"/>
      <w:r w:rsidRPr="00417A14">
        <w:rPr>
          <w:rFonts w:ascii="Times New Roman" w:hAnsi="Times New Roman"/>
          <w:bCs/>
          <w:sz w:val="24"/>
          <w:szCs w:val="24"/>
        </w:rPr>
        <w:t>MoFA</w:t>
      </w:r>
      <w:proofErr w:type="spellEnd"/>
      <w:r w:rsidRPr="00417A14">
        <w:rPr>
          <w:rFonts w:ascii="Times New Roman" w:hAnsi="Times New Roman"/>
          <w:bCs/>
          <w:sz w:val="24"/>
          <w:szCs w:val="24"/>
        </w:rPr>
        <w:t>) Wa regional office</w:t>
      </w:r>
      <w:r w:rsidRPr="00417A14">
        <w:rPr>
          <w:rFonts w:ascii="Times New Roman" w:hAnsi="Times New Roman"/>
          <w:sz w:val="24"/>
          <w:szCs w:val="24"/>
        </w:rPr>
        <w:t xml:space="preserve"> was used. </w:t>
      </w:r>
      <w:r w:rsidRPr="00417A14">
        <w:rPr>
          <w:rFonts w:ascii="Times New Roman" w:eastAsia="Times New Roman" w:hAnsi="Times New Roman"/>
          <w:sz w:val="24"/>
          <w:szCs w:val="24"/>
        </w:rPr>
        <w:t xml:space="preserve">Weed control was done by </w:t>
      </w:r>
      <w:r w:rsidR="00587A53" w:rsidRPr="00417A14">
        <w:rPr>
          <w:rFonts w:ascii="Times New Roman" w:eastAsia="Times New Roman" w:hAnsi="Times New Roman"/>
          <w:sz w:val="24"/>
          <w:szCs w:val="24"/>
        </w:rPr>
        <w:t>applying</w:t>
      </w:r>
      <w:r w:rsidRPr="00417A14">
        <w:rPr>
          <w:rFonts w:ascii="Times New Roman" w:eastAsia="Times New Roman" w:hAnsi="Times New Roman"/>
          <w:sz w:val="24"/>
          <w:szCs w:val="24"/>
        </w:rPr>
        <w:t xml:space="preserve"> glyphosate followed by hand weeding with the traditional hoe at the onset of flowering. Insect pests were controlled using </w:t>
      </w:r>
      <w:proofErr w:type="spellStart"/>
      <w:r w:rsidRPr="00417A14">
        <w:rPr>
          <w:rFonts w:ascii="Times New Roman" w:eastAsia="Times New Roman" w:hAnsi="Times New Roman"/>
          <w:sz w:val="24"/>
          <w:szCs w:val="24"/>
        </w:rPr>
        <w:t>Sunhhalothrin</w:t>
      </w:r>
      <w:proofErr w:type="spellEnd"/>
      <w:r w:rsidRPr="00417A14">
        <w:rPr>
          <w:rFonts w:ascii="Times New Roman" w:eastAsia="Times New Roman" w:hAnsi="Times New Roman"/>
          <w:sz w:val="24"/>
          <w:szCs w:val="24"/>
        </w:rPr>
        <w:t xml:space="preserve"> 2.5% EC (25 g lambda-cyhalothrin per </w:t>
      </w:r>
      <w:proofErr w:type="spellStart"/>
      <w:r w:rsidRPr="00417A14">
        <w:rPr>
          <w:rFonts w:ascii="Times New Roman" w:eastAsia="Times New Roman" w:hAnsi="Times New Roman"/>
          <w:sz w:val="24"/>
          <w:szCs w:val="24"/>
        </w:rPr>
        <w:t>litre</w:t>
      </w:r>
      <w:proofErr w:type="spellEnd"/>
      <w:r w:rsidRPr="00417A14">
        <w:rPr>
          <w:rFonts w:ascii="Times New Roman" w:eastAsia="Times New Roman" w:hAnsi="Times New Roman"/>
          <w:sz w:val="24"/>
          <w:szCs w:val="24"/>
        </w:rPr>
        <w:t xml:space="preserve">) at the commencement of flowering. Biomass yield was determined at 50% flowering while grain yield was determined at pod maturity. Fertilizer application was </w:t>
      </w:r>
      <w:r w:rsidR="00587A53" w:rsidRPr="00417A14">
        <w:rPr>
          <w:rFonts w:ascii="Times New Roman" w:eastAsia="Times New Roman" w:hAnsi="Times New Roman"/>
          <w:sz w:val="24"/>
          <w:szCs w:val="24"/>
        </w:rPr>
        <w:t xml:space="preserve">made </w:t>
      </w:r>
      <w:r w:rsidRPr="00417A14">
        <w:rPr>
          <w:rFonts w:ascii="Times New Roman" w:eastAsia="Times New Roman" w:hAnsi="Times New Roman"/>
          <w:sz w:val="24"/>
          <w:szCs w:val="24"/>
        </w:rPr>
        <w:t xml:space="preserve">at sowing as spot application using urea, triple superphosphate and muriate of potash. </w:t>
      </w:r>
      <w:r w:rsidRPr="00417A14">
        <w:rPr>
          <w:rFonts w:ascii="Times New Roman" w:hAnsi="Times New Roman"/>
          <w:sz w:val="24"/>
          <w:szCs w:val="24"/>
        </w:rPr>
        <w:t xml:space="preserve"> Seven treatments were selected based on FAO (1976) cowpea blanket fertilizer recommendation of 22 kg N, 28 – 67 kg P</w:t>
      </w:r>
      <w:r w:rsidRPr="00417A14">
        <w:rPr>
          <w:rFonts w:ascii="Times New Roman" w:hAnsi="Times New Roman"/>
          <w:sz w:val="24"/>
          <w:szCs w:val="24"/>
          <w:vertAlign w:val="subscript"/>
        </w:rPr>
        <w:t>2</w:t>
      </w:r>
      <w:r w:rsidRPr="00417A14">
        <w:rPr>
          <w:rFonts w:ascii="Times New Roman" w:hAnsi="Times New Roman"/>
          <w:sz w:val="24"/>
          <w:szCs w:val="24"/>
        </w:rPr>
        <w:t>O</w:t>
      </w:r>
      <w:r w:rsidRPr="00417A14">
        <w:rPr>
          <w:rFonts w:ascii="Times New Roman" w:hAnsi="Times New Roman"/>
          <w:sz w:val="24"/>
          <w:szCs w:val="24"/>
          <w:vertAlign w:val="subscript"/>
        </w:rPr>
        <w:t>5</w:t>
      </w:r>
      <w:r w:rsidRPr="00417A14">
        <w:rPr>
          <w:rFonts w:ascii="Times New Roman" w:hAnsi="Times New Roman"/>
          <w:sz w:val="24"/>
          <w:szCs w:val="24"/>
        </w:rPr>
        <w:t xml:space="preserve"> and 22 – 45 kg K</w:t>
      </w:r>
      <w:r w:rsidRPr="00417A14">
        <w:rPr>
          <w:rFonts w:ascii="Times New Roman" w:hAnsi="Times New Roman"/>
          <w:sz w:val="24"/>
          <w:szCs w:val="24"/>
          <w:vertAlign w:val="subscript"/>
        </w:rPr>
        <w:t>2</w:t>
      </w:r>
      <w:r w:rsidRPr="00417A14">
        <w:rPr>
          <w:rFonts w:ascii="Times New Roman" w:hAnsi="Times New Roman"/>
          <w:sz w:val="24"/>
          <w:szCs w:val="24"/>
        </w:rPr>
        <w:t xml:space="preserve">O/ha and other studies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&lt;EndNote&gt;&lt;Cite&gt;&lt;Author&gt;Abayomi&lt;/Author&gt;&lt;Year&gt;2008&lt;/Year&gt;&lt;RecNum&gt;15&lt;/RecNum&gt;&lt;DisplayText&gt;(Abayomi et al. 2008; Chiezey et al. 1990)&lt;/DisplayText&gt;&lt;record&gt;&lt;rec-number&gt;15&lt;/rec-number&gt;&lt;foreign-keys&gt;&lt;key app="EN" db-id="2vz9r9ed7zadxne0a0t5e5572x0farz0e0tp" timestamp="1561604870"&gt;15&lt;/key&gt;&lt;/foreign-keys&gt;&lt;ref-type name="Journal Article"&gt;17&lt;/ref-type&gt;&lt;contributors&gt;&lt;authors&gt;&lt;author&gt;Abayomi, YA&lt;/author&gt;&lt;author&gt;Ajibade, TV&lt;/author&gt;&lt;author&gt;Sammuel, OF&lt;/author&gt;&lt;author&gt;Saadudeen, BF&lt;/author&gt;&lt;/authors&gt;&lt;/contributors&gt;&lt;titles&gt;&lt;title&gt;&lt;style face="normal" font="default" size="100%"&gt;Growth and yield responses of cowpea (&lt;/style&gt;&lt;style face="italic" font="default" size="100%"&gt;Vigna unguiculata&lt;/style&gt;&lt;style face="normal" font="default" size="100%"&gt; (L.) Walp) genotypes to nitrogen fertilizer (NPK) application in the Southern Guinea Savanna zone of Nigeria&lt;/style&gt;&lt;/title&gt;&lt;secondary-title&gt;Asian J. Plant Sci&lt;/secondary-title&gt;&lt;/titles&gt;&lt;pages&gt;170-176&lt;/pages&gt;&lt;volume&gt;7&lt;/volume&gt;&lt;number&gt;2&lt;/number&gt;&lt;dates&gt;&lt;year&gt;2008&lt;/year&gt;&lt;/dates&gt;&lt;urls&gt;&lt;/urls&gt;&lt;/record&gt;&lt;/Cite&gt;&lt;Cite&gt;&lt;Author&gt;Chiezey&lt;/Author&gt;&lt;Year&gt;1990&lt;/Year&gt;&lt;RecNum&gt;16&lt;/RecNum&gt;&lt;record&gt;&lt;rec-number&gt;16&lt;/rec-number&gt;&lt;foreign-keys&gt;&lt;key app="EN" db-id="2vz9r9ed7zadxne0a0t5e5572x0farz0e0tp" timestamp="1561604928"&gt;16&lt;/key&gt;&lt;/foreign-keys&gt;&lt;ref-type name="Journal Article"&gt;17&lt;/ref-type&gt;&lt;contributors&gt;&lt;authors&gt;&lt;author&gt;Chiezey, UF&lt;/author&gt;&lt;author&gt;Katung, PD&lt;/author&gt;&lt;author&gt;Yayock, JY&lt;/author&gt;&lt;/authors&gt;&lt;/contributors&gt;&lt;titles&gt;&lt;title&gt;&lt;style face="normal" font="default" size="100%"&gt;Response of cowpea (&lt;/style&gt;&lt;style face="italic" font="default" size="100%"&gt;V. unguiculata &lt;/style&gt;&lt;style face="normal" font="default" size="100%"&gt;(L.) Walp.), var. sampea-7 to nitrogen and phosphorus following a maize crop&lt;/style&gt;&lt;/title&gt;&lt;secondary-title&gt;Samaru J. Agri. Edu.&lt;/secondary-title&gt;&lt;/titles&gt;&lt;pages&gt;161-168&lt;/pages&gt;&lt;volume&gt;4&lt;/volume&gt;&lt;number&gt;1&lt;/number&gt;&lt;dates&gt;&lt;year&gt;1990&lt;/year&gt;&lt;/dates&gt;&lt;urls&gt;&lt;/urls&gt;&lt;/record&gt;&lt;/Cite&gt;&lt;/EndNote&gt;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(Abayomi et al. 2008; Chiezey et al. 1990)</w:t>
      </w:r>
      <w:r w:rsidRPr="00417A14">
        <w:rPr>
          <w:rFonts w:ascii="Times New Roman" w:hAnsi="Times New Roman"/>
          <w:sz w:val="24"/>
          <w:szCs w:val="24"/>
        </w:rPr>
        <w:fldChar w:fldCharType="end"/>
      </w:r>
      <w:r w:rsidRPr="00417A14">
        <w:rPr>
          <w:rFonts w:ascii="Times New Roman" w:hAnsi="Times New Roman"/>
          <w:sz w:val="24"/>
          <w:szCs w:val="24"/>
        </w:rPr>
        <w:t xml:space="preserve">. The treatments were as follows: </w:t>
      </w:r>
      <w:r w:rsidRPr="00417A14">
        <w:rPr>
          <w:rFonts w:ascii="Times New Roman" w:hAnsi="Times New Roman"/>
          <w:bCs/>
          <w:sz w:val="24"/>
          <w:szCs w:val="24"/>
        </w:rPr>
        <w:t>N-P</w:t>
      </w:r>
      <w:r w:rsidRPr="00417A14">
        <w:rPr>
          <w:rFonts w:ascii="Times New Roman" w:hAnsi="Times New Roman"/>
          <w:bCs/>
          <w:sz w:val="24"/>
          <w:szCs w:val="24"/>
          <w:vertAlign w:val="subscript"/>
        </w:rPr>
        <w:t>2</w:t>
      </w:r>
      <w:r w:rsidRPr="00417A14">
        <w:rPr>
          <w:rFonts w:ascii="Times New Roman" w:hAnsi="Times New Roman"/>
          <w:bCs/>
          <w:sz w:val="24"/>
          <w:szCs w:val="24"/>
        </w:rPr>
        <w:t>O</w:t>
      </w:r>
      <w:r w:rsidRPr="00417A14">
        <w:rPr>
          <w:rFonts w:ascii="Times New Roman" w:hAnsi="Times New Roman"/>
          <w:bCs/>
          <w:sz w:val="24"/>
          <w:szCs w:val="24"/>
          <w:vertAlign w:val="subscript"/>
        </w:rPr>
        <w:t>5</w:t>
      </w:r>
      <w:r w:rsidRPr="00417A14">
        <w:rPr>
          <w:rFonts w:ascii="Times New Roman" w:hAnsi="Times New Roman"/>
          <w:bCs/>
          <w:sz w:val="24"/>
          <w:szCs w:val="24"/>
        </w:rPr>
        <w:t>-K</w:t>
      </w:r>
      <w:r w:rsidRPr="00417A14">
        <w:rPr>
          <w:rFonts w:ascii="Times New Roman" w:hAnsi="Times New Roman"/>
          <w:bCs/>
          <w:sz w:val="24"/>
          <w:szCs w:val="24"/>
          <w:vertAlign w:val="subscript"/>
        </w:rPr>
        <w:t>2</w:t>
      </w:r>
      <w:r w:rsidRPr="00417A14">
        <w:rPr>
          <w:rFonts w:ascii="Times New Roman" w:hAnsi="Times New Roman"/>
          <w:bCs/>
          <w:sz w:val="24"/>
          <w:szCs w:val="24"/>
        </w:rPr>
        <w:t>O kg/ha</w:t>
      </w:r>
      <w:r w:rsidRPr="00417A14">
        <w:rPr>
          <w:rFonts w:ascii="Times New Roman" w:hAnsi="Times New Roman"/>
          <w:bCs/>
          <w:sz w:val="24"/>
          <w:szCs w:val="24"/>
          <w:vertAlign w:val="superscript"/>
        </w:rPr>
        <w:t xml:space="preserve"> </w:t>
      </w:r>
      <w:r w:rsidRPr="00417A14">
        <w:rPr>
          <w:rFonts w:ascii="Times New Roman" w:hAnsi="Times New Roman"/>
          <w:bCs/>
          <w:sz w:val="24"/>
          <w:szCs w:val="24"/>
        </w:rPr>
        <w:t>corresponding to:</w:t>
      </w:r>
      <w:r w:rsidRPr="00417A14">
        <w:rPr>
          <w:rFonts w:ascii="Times New Roman" w:hAnsi="Times New Roman"/>
          <w:b/>
          <w:sz w:val="24"/>
          <w:szCs w:val="24"/>
        </w:rPr>
        <w:t xml:space="preserve"> </w:t>
      </w:r>
      <w:r w:rsidRPr="00417A14">
        <w:rPr>
          <w:rFonts w:ascii="Times New Roman" w:hAnsi="Times New Roman"/>
          <w:sz w:val="24"/>
          <w:szCs w:val="24"/>
        </w:rPr>
        <w:t xml:space="preserve">T1: 0-0-0, (control), T2: 10 – 15 – 10, T3: 20 – 15 – 20, T4: 20 – 30 – 10, T5: 20 – 30 – 20, T6: 20 – 45 – 20, T7: 30 – 45 – 30. </w:t>
      </w:r>
    </w:p>
    <w:p w14:paraId="139FEED6" w14:textId="3A3E91A9" w:rsidR="00936876" w:rsidRPr="00417A14" w:rsidRDefault="00936876" w:rsidP="00936876">
      <w:pPr>
        <w:tabs>
          <w:tab w:val="left" w:pos="567"/>
          <w:tab w:val="left" w:pos="2970"/>
        </w:tabs>
        <w:autoSpaceDE w:val="0"/>
        <w:autoSpaceDN w:val="0"/>
        <w:adjustRightInd w:val="0"/>
        <w:spacing w:after="0" w:line="480" w:lineRule="auto"/>
        <w:ind w:hanging="11"/>
        <w:contextualSpacing/>
        <w:jc w:val="both"/>
        <w:rPr>
          <w:rFonts w:ascii="Times New Roman" w:hAnsi="Times New Roman"/>
          <w:sz w:val="24"/>
          <w:szCs w:val="24"/>
        </w:rPr>
      </w:pPr>
      <w:r w:rsidRPr="00417A14">
        <w:rPr>
          <w:rFonts w:ascii="Times New Roman" w:hAnsi="Times New Roman"/>
          <w:sz w:val="24"/>
          <w:szCs w:val="24"/>
        </w:rPr>
        <w:t xml:space="preserve"> The experimental design was a fractional factorial experiment </w:t>
      </w:r>
      <w:r w:rsidRPr="00417A14">
        <w:rPr>
          <w:rFonts w:ascii="Times New Roman" w:hAnsi="Times New Roman"/>
          <w:bCs/>
          <w:sz w:val="24"/>
          <w:szCs w:val="24"/>
        </w:rPr>
        <w:t xml:space="preserve">laid out in </w:t>
      </w:r>
      <w:r w:rsidRPr="00417A14">
        <w:rPr>
          <w:rFonts w:ascii="Times New Roman" w:eastAsia="Times New Roman" w:hAnsi="Times New Roman"/>
          <w:sz w:val="24"/>
          <w:szCs w:val="24"/>
        </w:rPr>
        <w:t>a Randomized Complete Block Design (RCBD) with four replications giving 28 plots. The fractional</w:t>
      </w:r>
      <w:r w:rsidRPr="00417A14">
        <w:rPr>
          <w:rFonts w:ascii="Times New Roman" w:eastAsia="Times New Roman" w:hAnsi="Times New Roman"/>
          <w:sz w:val="32"/>
          <w:szCs w:val="24"/>
        </w:rPr>
        <w:t xml:space="preserve"> </w:t>
      </w:r>
      <w:r w:rsidRPr="00417A14">
        <w:rPr>
          <w:rFonts w:ascii="Times New Roman" w:eastAsia="Times New Roman" w:hAnsi="Times New Roman"/>
          <w:sz w:val="24"/>
          <w:szCs w:val="24"/>
        </w:rPr>
        <w:t xml:space="preserve">factorial was used to reduce the number of treatments from all possible combinations. Only treatments of interest were selected. </w:t>
      </w:r>
    </w:p>
    <w:p w14:paraId="799A567D" w14:textId="77777777" w:rsidR="00936876" w:rsidRPr="00417A14" w:rsidRDefault="00936876" w:rsidP="00936876">
      <w:pPr>
        <w:pStyle w:val="Heading2"/>
        <w:spacing w:line="480" w:lineRule="auto"/>
        <w:rPr>
          <w:rFonts w:eastAsia="Times New Roman"/>
        </w:rPr>
      </w:pPr>
      <w:r w:rsidRPr="00417A14">
        <w:rPr>
          <w:rFonts w:eastAsia="Times New Roman"/>
        </w:rPr>
        <w:t>Statistical analysis</w:t>
      </w:r>
    </w:p>
    <w:p w14:paraId="30F4F5F1" w14:textId="0C15AAA9" w:rsidR="00936876" w:rsidRPr="00417A14" w:rsidRDefault="00936876" w:rsidP="00936876">
      <w:pPr>
        <w:tabs>
          <w:tab w:val="left" w:pos="567"/>
          <w:tab w:val="left" w:pos="2970"/>
        </w:tabs>
        <w:autoSpaceDE w:val="0"/>
        <w:autoSpaceDN w:val="0"/>
        <w:adjustRightInd w:val="0"/>
        <w:spacing w:line="480" w:lineRule="auto"/>
        <w:ind w:hanging="11"/>
        <w:contextualSpacing/>
        <w:jc w:val="both"/>
        <w:rPr>
          <w:rFonts w:ascii="Times New Roman" w:hAnsi="Times New Roman"/>
          <w:sz w:val="24"/>
          <w:szCs w:val="24"/>
        </w:rPr>
      </w:pPr>
      <w:r w:rsidRPr="00417A14">
        <w:rPr>
          <w:rFonts w:ascii="Times New Roman" w:eastAsia="Times New Roman" w:hAnsi="Times New Roman"/>
          <w:sz w:val="24"/>
          <w:szCs w:val="24"/>
          <w:lang w:val="en-GB"/>
        </w:rPr>
        <w:t xml:space="preserve">To test for significant difference among treatment means, all data collected from the field experiment was </w:t>
      </w:r>
      <w:r w:rsidRPr="00417A14">
        <w:rPr>
          <w:rFonts w:ascii="Times New Roman" w:eastAsia="Times New Roman" w:hAnsi="Times New Roman"/>
          <w:sz w:val="24"/>
          <w:szCs w:val="24"/>
        </w:rPr>
        <w:t xml:space="preserve">analyzed with </w:t>
      </w:r>
      <w:proofErr w:type="spellStart"/>
      <w:r w:rsidRPr="00417A14">
        <w:rPr>
          <w:rFonts w:ascii="Times New Roman" w:eastAsia="Times New Roman" w:hAnsi="Times New Roman"/>
          <w:sz w:val="24"/>
          <w:szCs w:val="24"/>
        </w:rPr>
        <w:t>Genstat</w:t>
      </w:r>
      <w:proofErr w:type="spellEnd"/>
      <w:r w:rsidRPr="00417A14">
        <w:rPr>
          <w:rFonts w:ascii="Times New Roman" w:eastAsia="Times New Roman" w:hAnsi="Times New Roman"/>
          <w:sz w:val="24"/>
          <w:szCs w:val="24"/>
        </w:rPr>
        <w:t xml:space="preserve"> 11</w:t>
      </w:r>
      <w:r w:rsidRPr="00417A14">
        <w:rPr>
          <w:rFonts w:ascii="Times New Roman" w:eastAsia="Times New Roman" w:hAnsi="Times New Roman"/>
          <w:sz w:val="24"/>
          <w:szCs w:val="24"/>
          <w:vertAlign w:val="superscript"/>
        </w:rPr>
        <w:t>th</w:t>
      </w:r>
      <w:r w:rsidRPr="00417A14">
        <w:rPr>
          <w:rFonts w:ascii="Times New Roman" w:eastAsia="Times New Roman" w:hAnsi="Times New Roman"/>
          <w:sz w:val="24"/>
          <w:szCs w:val="24"/>
        </w:rPr>
        <w:t xml:space="preserve"> edition using general linear model (GLM) </w:t>
      </w:r>
      <w:r w:rsidRPr="00417A14">
        <w:rPr>
          <w:rFonts w:ascii="Times New Roman" w:eastAsia="Times New Roman" w:hAnsi="Times New Roman"/>
          <w:sz w:val="24"/>
          <w:szCs w:val="24"/>
        </w:rPr>
        <w:lastRenderedPageBreak/>
        <w:t>analysis of variance (ANOVA) with randomized blocks procedure. M</w:t>
      </w:r>
      <w:proofErr w:type="spellStart"/>
      <w:r w:rsidRPr="00417A14">
        <w:rPr>
          <w:rFonts w:ascii="Times New Roman" w:hAnsi="Times New Roman"/>
          <w:sz w:val="24"/>
          <w:szCs w:val="24"/>
          <w:lang w:val="en-CA"/>
        </w:rPr>
        <w:t>eans</w:t>
      </w:r>
      <w:proofErr w:type="spellEnd"/>
      <w:r w:rsidRPr="00417A14">
        <w:rPr>
          <w:rFonts w:ascii="Times New Roman" w:hAnsi="Times New Roman"/>
          <w:sz w:val="24"/>
          <w:szCs w:val="24"/>
          <w:lang w:val="en-CA"/>
        </w:rPr>
        <w:t xml:space="preserve"> were separated using the Least Significance Difference </w:t>
      </w:r>
      <w:r w:rsidRPr="00417A14">
        <w:rPr>
          <w:rFonts w:ascii="Times New Roman" w:eastAsia="Times New Roman" w:hAnsi="Times New Roman"/>
          <w:sz w:val="24"/>
          <w:szCs w:val="24"/>
        </w:rPr>
        <w:t>(LSD) at 5% level of probability. A second analysis of variance was combined for the two cropping seasons with treatments nested into the cropping seasons. The cropping season became a blocking component</w:t>
      </w:r>
      <w:r w:rsidR="00587A53" w:rsidRPr="00417A14">
        <w:rPr>
          <w:rFonts w:ascii="Times New Roman" w:eastAsia="Times New Roman" w:hAnsi="Times New Roman"/>
          <w:sz w:val="24"/>
          <w:szCs w:val="24"/>
        </w:rPr>
        <w:t>,</w:t>
      </w:r>
      <w:r w:rsidRPr="00417A14">
        <w:rPr>
          <w:rFonts w:ascii="Times New Roman" w:eastAsia="Times New Roman" w:hAnsi="Times New Roman"/>
          <w:sz w:val="24"/>
          <w:szCs w:val="24"/>
        </w:rPr>
        <w:t xml:space="preserve"> while fertilizer rates remained the treatment structure. This enabled a comparison of the yield trend among the 2 cropping seasons. </w:t>
      </w:r>
    </w:p>
    <w:p w14:paraId="408BF432" w14:textId="2DF1A91B" w:rsidR="00936876" w:rsidRPr="00417A14" w:rsidRDefault="00936876" w:rsidP="00936876">
      <w:pPr>
        <w:pStyle w:val="Heading2"/>
        <w:spacing w:line="480" w:lineRule="auto"/>
      </w:pPr>
      <w:r w:rsidRPr="00417A14">
        <w:rPr>
          <w:rFonts w:eastAsia="Times New Roman"/>
          <w:lang w:val="en-GB"/>
        </w:rPr>
        <w:t xml:space="preserve">Laboratory analysis </w:t>
      </w:r>
    </w:p>
    <w:p w14:paraId="5423ED3E" w14:textId="1677DA66" w:rsidR="00936876" w:rsidRPr="00417A14" w:rsidRDefault="00936876" w:rsidP="00936876">
      <w:pPr>
        <w:spacing w:before="240" w:after="0" w:line="480" w:lineRule="auto"/>
        <w:jc w:val="both"/>
        <w:rPr>
          <w:rFonts w:ascii="Times New Roman" w:hAnsi="Times New Roman"/>
          <w:sz w:val="24"/>
          <w:szCs w:val="24"/>
        </w:rPr>
      </w:pPr>
      <w:r w:rsidRPr="00417A14">
        <w:rPr>
          <w:rFonts w:ascii="Times New Roman" w:hAnsi="Times New Roman"/>
          <w:sz w:val="24"/>
          <w:szCs w:val="24"/>
        </w:rPr>
        <w:t xml:space="preserve">Soil pH was determined using glass electrode pH meter in a 1:1 soil to distilled water (soil: water) ratio, available P by the Bray and Kurtz (Bray P-1) method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&lt;EndNote&gt;&lt;Cite&gt;&lt;Author&gt;Bray&lt;/Author&gt;&lt;Year&gt;1945&lt;/Year&gt;&lt;RecNum&gt;85&lt;/RecNum&gt;&lt;DisplayText&gt;(Bray and Kurtz 1945)&lt;/DisplayText&gt;&lt;record&gt;&lt;rec-number&gt;85&lt;/rec-number&gt;&lt;foreign-keys&gt;&lt;key app="EN" db-id="2vz9r9ed7zadxne0a0t5e5572x0farz0e0tp" timestamp="1562975094"&gt;85&lt;/key&gt;&lt;/foreign-keys&gt;&lt;ref-type name="Journal Article"&gt;17&lt;/ref-type&gt;&lt;contributors&gt;&lt;authors&gt;&lt;author&gt;Bray, Roger H&lt;/author&gt;&lt;author&gt;Kurtz, LT&lt;/author&gt;&lt;/authors&gt;&lt;/contributors&gt;&lt;titles&gt;&lt;title&gt;Determination of total, organic, and available forms of phosphorus in soils&lt;/title&gt;&lt;secondary-title&gt;Soil science&lt;/secondary-title&gt;&lt;/titles&gt;&lt;periodical&gt;&lt;full-title&gt;Soil Science&lt;/full-title&gt;&lt;abbr-1&gt;Soil Sci&lt;/abbr-1&gt;&lt;abbr-2&gt;Soil Sci&lt;/abbr-2&gt;&lt;/periodical&gt;&lt;pages&gt;39-46&lt;/pages&gt;&lt;volume&gt;59&lt;/volume&gt;&lt;number&gt;1&lt;/number&gt;&lt;dates&gt;&lt;year&gt;1945&lt;/year&gt;&lt;/dates&gt;&lt;isbn&gt;0038-075X&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(Bray and Kurtz 1945)</w:t>
      </w:r>
      <w:r w:rsidRPr="00417A14">
        <w:rPr>
          <w:rFonts w:ascii="Times New Roman" w:hAnsi="Times New Roman"/>
          <w:sz w:val="24"/>
          <w:szCs w:val="24"/>
        </w:rPr>
        <w:fldChar w:fldCharType="end"/>
      </w:r>
      <w:r w:rsidRPr="00417A14">
        <w:rPr>
          <w:rFonts w:ascii="Times New Roman" w:hAnsi="Times New Roman"/>
          <w:sz w:val="24"/>
          <w:szCs w:val="24"/>
        </w:rPr>
        <w:t xml:space="preserve"> while the </w:t>
      </w:r>
      <w:r w:rsidRPr="00417A14">
        <w:rPr>
          <w:rFonts w:ascii="Times New Roman" w:eastAsiaTheme="minorHAnsi" w:hAnsi="Times New Roman"/>
          <w:sz w:val="24"/>
          <w:szCs w:val="24"/>
        </w:rPr>
        <w:t xml:space="preserve">modified Walkley and Black procedure as described by Nelson and Sommers </w:t>
      </w:r>
      <w:r w:rsidRPr="00417A14">
        <w:rPr>
          <w:rFonts w:ascii="Times New Roman" w:eastAsiaTheme="minorHAnsi" w:hAnsi="Times New Roman"/>
          <w:sz w:val="24"/>
          <w:szCs w:val="24"/>
        </w:rPr>
        <w:fldChar w:fldCharType="begin"/>
      </w:r>
      <w:r w:rsidRPr="00417A14">
        <w:rPr>
          <w:rFonts w:ascii="Times New Roman" w:eastAsiaTheme="minorHAnsi" w:hAnsi="Times New Roman"/>
          <w:sz w:val="24"/>
          <w:szCs w:val="24"/>
        </w:rPr>
        <w:instrText xml:space="preserve"> ADDIN EN.CITE &lt;EndNote&gt;&lt;Cite&gt;&lt;Author&gt;Nelson&lt;/Author&gt;&lt;Year&gt;1996&lt;/Year&gt;&lt;RecNum&gt;86&lt;/RecNum&gt;&lt;DisplayText&gt;(Nelson and Sommers 1996)&lt;/DisplayText&gt;&lt;record&gt;&lt;rec-number&gt;86&lt;/rec-number&gt;&lt;foreign-keys&gt;&lt;key app="EN" db-id="2vz9r9ed7zadxne0a0t5e5572x0farz0e0tp" timestamp="1562975191"&gt;86&lt;/key&gt;&lt;/foreign-keys&gt;&lt;ref-type name="Book Section"&gt;5&lt;/ref-type&gt;&lt;contributors&gt;&lt;authors&gt;&lt;author&gt;Nelson, Darrell W&lt;/author&gt;&lt;author&gt;Sommers, Lee E&lt;/author&gt;&lt;/authors&gt;&lt;/contributors&gt;&lt;titles&gt;&lt;title&gt;Total carbon, organic carbon, and organic matter&lt;/title&gt;&lt;secondary-title&gt;Methods of soil analysis part 3 — chemical methods&lt;/secondary-title&gt;&lt;/titles&gt;&lt;pages&gt;961-1010&lt;/pages&gt;&lt;volume&gt;5&lt;/volume&gt;&lt;number&gt;3&lt;/number&gt;&lt;dates&gt;&lt;year&gt;1996&lt;/year&gt;&lt;/dates&gt;&lt;pub-location&gt;Madison, Wisconsin&lt;/pub-location&gt;&lt;publisher&gt;Soil Science Society of America Book Series&lt;/publisher&gt;&lt;isbn&gt;0891188665&lt;/isbn&gt;&lt;urls&gt;&lt;/urls&gt;&lt;/record&gt;&lt;/Cite&gt;&lt;/EndNote&gt;</w:instrText>
      </w:r>
      <w:r w:rsidRPr="00417A14">
        <w:rPr>
          <w:rFonts w:ascii="Times New Roman" w:eastAsiaTheme="minorHAnsi" w:hAnsi="Times New Roman"/>
          <w:sz w:val="24"/>
          <w:szCs w:val="24"/>
        </w:rPr>
        <w:fldChar w:fldCharType="separate"/>
      </w:r>
      <w:r w:rsidRPr="00417A14">
        <w:rPr>
          <w:rFonts w:ascii="Times New Roman" w:eastAsiaTheme="minorHAnsi" w:hAnsi="Times New Roman"/>
          <w:noProof/>
          <w:sz w:val="24"/>
          <w:szCs w:val="24"/>
        </w:rPr>
        <w:t>(Nelson and Sommers 1996)</w:t>
      </w:r>
      <w:r w:rsidRPr="00417A14">
        <w:rPr>
          <w:rFonts w:ascii="Times New Roman" w:eastAsiaTheme="minorHAnsi" w:hAnsi="Times New Roman"/>
          <w:sz w:val="24"/>
          <w:szCs w:val="24"/>
        </w:rPr>
        <w:fldChar w:fldCharType="end"/>
      </w:r>
      <w:r w:rsidRPr="00417A14">
        <w:rPr>
          <w:rFonts w:ascii="Times New Roman" w:eastAsiaTheme="minorHAnsi" w:hAnsi="Times New Roman"/>
          <w:sz w:val="24"/>
          <w:szCs w:val="24"/>
        </w:rPr>
        <w:t xml:space="preserve"> was used to determine organic carbon. Total nitrogen was determined using the </w:t>
      </w:r>
      <w:r w:rsidRPr="00417A14">
        <w:rPr>
          <w:rFonts w:ascii="Times New Roman" w:hAnsi="Times New Roman"/>
          <w:sz w:val="24"/>
          <w:szCs w:val="24"/>
        </w:rPr>
        <w:t xml:space="preserve">macro </w:t>
      </w:r>
      <w:proofErr w:type="spellStart"/>
      <w:r w:rsidRPr="00417A14">
        <w:rPr>
          <w:rFonts w:ascii="Times New Roman" w:hAnsi="Times New Roman"/>
          <w:sz w:val="24"/>
          <w:szCs w:val="24"/>
        </w:rPr>
        <w:t>Kjeldahl</w:t>
      </w:r>
      <w:proofErr w:type="spellEnd"/>
      <w:r w:rsidRPr="00417A14">
        <w:rPr>
          <w:rFonts w:ascii="Times New Roman" w:hAnsi="Times New Roman"/>
          <w:sz w:val="24"/>
          <w:szCs w:val="24"/>
        </w:rPr>
        <w:t xml:space="preserve"> method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&lt;EndNote&gt;&lt;Cite&gt;&lt;Author&gt;Miller&lt;/Author&gt;&lt;Year&gt;1945&lt;/Year&gt;&lt;RecNum&gt;101&lt;/RecNum&gt;&lt;DisplayText&gt;(Miller and Houghton 1945)&lt;/DisplayText&gt;&lt;record&gt;&lt;rec-number&gt;101&lt;/rec-number&gt;&lt;foreign-keys&gt;&lt;key app="EN" db-id="2vz9r9ed7zadxne0a0t5e5572x0farz0e0tp" timestamp="1563475685"&gt;101&lt;/key&gt;&lt;/foreign-keys&gt;&lt;ref-type name="Journal Article"&gt;17&lt;/ref-type&gt;&lt;contributors&gt;&lt;authors&gt;&lt;author&gt;Miller, Lila&lt;/author&gt;&lt;author&gt;Houghton, Jean Anne&lt;/author&gt;&lt;/authors&gt;&lt;/contributors&gt;&lt;titles&gt;&lt;title&gt;The microKjeldahl determination of the nitrogen content of amino acids and proteins&lt;/title&gt;&lt;secondary-title&gt;Journal of Biological Chemistry&lt;/secondary-title&gt;&lt;/titles&gt;&lt;periodical&gt;&lt;full-title&gt;Journal of Biological Chemistry&lt;/full-title&gt;&lt;abbr-1&gt;J Biol Chem&lt;/abbr-1&gt;&lt;abbr-2&gt;J. Biol. Chem.&lt;/abbr-2&gt;&lt;/periodical&gt;&lt;pages&gt;373-383&lt;/pages&gt;&lt;volume&gt;169&lt;/volume&gt;&lt;dates&gt;&lt;year&gt;1945&lt;/year&gt;&lt;/dates&gt;&lt;isbn&gt;0021-9258&lt;/isbn&gt;&lt;urls&gt;&lt;/urls&gt;&lt;/record&gt;&lt;/Cite&gt;&lt;/EndNote&gt;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(Miller and Houghton 1945)</w:t>
      </w:r>
      <w:r w:rsidRPr="00417A14">
        <w:rPr>
          <w:rFonts w:ascii="Times New Roman" w:hAnsi="Times New Roman"/>
          <w:sz w:val="24"/>
          <w:szCs w:val="24"/>
        </w:rPr>
        <w:fldChar w:fldCharType="end"/>
      </w:r>
      <w:r w:rsidR="00587A53" w:rsidRPr="00417A14">
        <w:rPr>
          <w:rFonts w:ascii="Times New Roman" w:hAnsi="Times New Roman"/>
          <w:sz w:val="24"/>
          <w:szCs w:val="24"/>
        </w:rPr>
        <w:t>,</w:t>
      </w:r>
      <w:r w:rsidRPr="00417A14">
        <w:rPr>
          <w:rFonts w:ascii="Times New Roman" w:hAnsi="Times New Roman"/>
          <w:sz w:val="24"/>
          <w:szCs w:val="24"/>
        </w:rPr>
        <w:t xml:space="preserve"> and 1.0 </w:t>
      </w:r>
      <w:r w:rsidRPr="00417A14">
        <w:rPr>
          <w:rFonts w:ascii="Times New Roman" w:hAnsi="Times New Roman"/>
          <w:i/>
          <w:sz w:val="24"/>
          <w:szCs w:val="24"/>
        </w:rPr>
        <w:t>N</w:t>
      </w:r>
      <w:r w:rsidRPr="00417A14">
        <w:rPr>
          <w:rFonts w:ascii="Times New Roman" w:hAnsi="Times New Roman"/>
          <w:sz w:val="24"/>
          <w:szCs w:val="24"/>
        </w:rPr>
        <w:t xml:space="preserve"> ammonium acetate (NH</w:t>
      </w:r>
      <w:r w:rsidRPr="00417A14">
        <w:rPr>
          <w:rFonts w:ascii="Times New Roman" w:hAnsi="Times New Roman"/>
          <w:position w:val="-8"/>
          <w:sz w:val="24"/>
          <w:szCs w:val="24"/>
          <w:vertAlign w:val="subscript"/>
        </w:rPr>
        <w:t>4</w:t>
      </w:r>
      <w:r w:rsidRPr="00417A14">
        <w:rPr>
          <w:rFonts w:ascii="Times New Roman" w:hAnsi="Times New Roman"/>
          <w:sz w:val="24"/>
          <w:szCs w:val="24"/>
        </w:rPr>
        <w:t xml:space="preserve">OAc) extract was used for exchangeable bases. Exchangeable acidity (hydrogen and </w:t>
      </w:r>
      <w:proofErr w:type="spellStart"/>
      <w:r w:rsidRPr="00417A14">
        <w:rPr>
          <w:rFonts w:ascii="Times New Roman" w:hAnsi="Times New Roman"/>
          <w:sz w:val="24"/>
          <w:szCs w:val="24"/>
        </w:rPr>
        <w:t>aluminium</w:t>
      </w:r>
      <w:proofErr w:type="spellEnd"/>
      <w:r w:rsidRPr="00417A14">
        <w:rPr>
          <w:rFonts w:ascii="Times New Roman" w:hAnsi="Times New Roman"/>
          <w:sz w:val="24"/>
          <w:szCs w:val="24"/>
        </w:rPr>
        <w:t xml:space="preserve">) was determined in 1.0 </w:t>
      </w:r>
      <w:r w:rsidRPr="00417A14">
        <w:rPr>
          <w:rFonts w:ascii="Times New Roman" w:hAnsi="Times New Roman"/>
          <w:i/>
          <w:iCs/>
          <w:sz w:val="24"/>
          <w:szCs w:val="24"/>
        </w:rPr>
        <w:t xml:space="preserve">N </w:t>
      </w:r>
      <w:r w:rsidRPr="00417A14">
        <w:rPr>
          <w:rFonts w:ascii="Times New Roman" w:hAnsi="Times New Roman"/>
          <w:sz w:val="24"/>
          <w:szCs w:val="24"/>
        </w:rPr>
        <w:t xml:space="preserve">potassium chloride (KCl) extract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&lt;EndNote&gt;&lt;Cite&gt;&lt;Author&gt;Page&lt;/Author&gt;&lt;Year&gt;1965&lt;/Year&gt;&lt;RecNum&gt;87&lt;/RecNum&gt;&lt;DisplayText&gt;(Page 1965)&lt;/DisplayText&gt;&lt;record&gt;&lt;rec-number&gt;87&lt;/rec-number&gt;&lt;foreign-keys&gt;&lt;key app="EN" db-id="2vz9r9ed7zadxne0a0t5e5572x0farz0e0tp" timestamp="1562975433"&gt;87&lt;/key&gt;&lt;/foreign-keys&gt;&lt;ref-type name="Book"&gt;6&lt;/ref-type&gt;&lt;contributors&gt;&lt;authors&gt;&lt;author&gt;Page, AL&lt;/author&gt;&lt;/authors&gt;&lt;/contributors&gt;&lt;titles&gt;&lt;title&gt;Methods of soil analysis. Part 2. Chemical and microbiological properties&lt;/title&gt;&lt;/titles&gt;&lt;dates&gt;&lt;year&gt;1965&lt;/year&gt;&lt;/dates&gt;&lt;publisher&gt;American Society of Agronomy, Soil Science Society of America&lt;/publisher&gt;&lt;isbn&gt;0891182047&lt;/isbn&gt;&lt;urls&gt;&lt;/urls&gt;&lt;/record&gt;&lt;/Cite&gt;&lt;/EndNote&gt;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(Page 1965)</w:t>
      </w:r>
      <w:r w:rsidRPr="00417A14">
        <w:rPr>
          <w:rFonts w:ascii="Times New Roman" w:hAnsi="Times New Roman"/>
          <w:sz w:val="24"/>
          <w:szCs w:val="24"/>
        </w:rPr>
        <w:fldChar w:fldCharType="end"/>
      </w:r>
      <w:r w:rsidRPr="00417A14">
        <w:rPr>
          <w:rFonts w:ascii="Times New Roman" w:hAnsi="Times New Roman"/>
          <w:sz w:val="24"/>
          <w:szCs w:val="24"/>
        </w:rPr>
        <w:t xml:space="preserve">. Exchangeable bases were extracted using 1.0 N ammonium acetate (NH4OAc) extract. Potassium and sodium in the soil extract were determined by flame photometry while </w:t>
      </w:r>
      <w:r w:rsidRPr="00417A14">
        <w:rPr>
          <w:rFonts w:ascii="Times New Roman" w:hAnsi="Times New Roman"/>
          <w:bCs/>
          <w:sz w:val="24"/>
          <w:szCs w:val="24"/>
        </w:rPr>
        <w:t xml:space="preserve">calcium and magnesium were read on </w:t>
      </w:r>
      <w:r w:rsidRPr="00417A14">
        <w:rPr>
          <w:rFonts w:ascii="Times New Roman" w:hAnsi="Times New Roman"/>
          <w:sz w:val="24"/>
          <w:szCs w:val="24"/>
        </w:rPr>
        <w:t xml:space="preserve">Atomic Absorption Spectrophotometer. </w:t>
      </w:r>
      <w:r w:rsidR="00587A53" w:rsidRPr="00417A14">
        <w:rPr>
          <w:rFonts w:ascii="Times New Roman" w:hAnsi="Times New Roman"/>
          <w:sz w:val="24"/>
          <w:szCs w:val="24"/>
        </w:rPr>
        <w:t>The sum of exchangeable bases calculated effective cation exchange capacity</w:t>
      </w:r>
      <w:r w:rsidRPr="00417A14">
        <w:rPr>
          <w:rFonts w:ascii="Times New Roman" w:hAnsi="Times New Roman"/>
          <w:sz w:val="24"/>
          <w:szCs w:val="24"/>
        </w:rPr>
        <w:t xml:space="preserve"> (Ca, Mg, K, and Na) and exchangeable acidity (Al and H).  The </w:t>
      </w:r>
      <w:proofErr w:type="spellStart"/>
      <w:r w:rsidRPr="00417A14">
        <w:rPr>
          <w:rFonts w:ascii="Times New Roman" w:hAnsi="Times New Roman"/>
          <w:sz w:val="24"/>
          <w:szCs w:val="24"/>
        </w:rPr>
        <w:t>Bouyoucos</w:t>
      </w:r>
      <w:proofErr w:type="spellEnd"/>
      <w:r w:rsidRPr="00417A14">
        <w:rPr>
          <w:rFonts w:ascii="Times New Roman" w:hAnsi="Times New Roman"/>
          <w:sz w:val="24"/>
          <w:szCs w:val="24"/>
        </w:rPr>
        <w:t xml:space="preserve"> hydrometer method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&lt;EndNote&gt;&lt;Cite&gt;&lt;Author&gt;Bouyoucos&lt;/Author&gt;&lt;Year&gt;1962&lt;/Year&gt;&lt;RecNum&gt;88&lt;/RecNum&gt;&lt;DisplayText&gt;(Bouyoucos 1962)&lt;/DisplayText&gt;&lt;record&gt;&lt;rec-number&gt;88&lt;/rec-number&gt;&lt;foreign-keys&gt;&lt;key app="EN" db-id="2vz9r9ed7zadxne0a0t5e5572x0farz0e0tp" timestamp="1562975485"&gt;88&lt;/key&gt;&lt;/foreign-keys&gt;&lt;ref-type name="Journal Article"&gt;17&lt;/ref-type&gt;&lt;contributors&gt;&lt;authors&gt;&lt;author&gt;Bouyoucos, George John&lt;/author&gt;&lt;/authors&gt;&lt;/contributors&gt;&lt;titles&gt;&lt;title&gt;Hydrometer method improved for making particle size analyses of soils 1&lt;/title&gt;&lt;secondary-title&gt;Agronomy journal&lt;/secondary-title&gt;&lt;/titles&gt;&lt;periodical&gt;&lt;full-title&gt;Agronomy Journal&lt;/full-title&gt;&lt;abbr-1&gt;Agron. J.&lt;/abbr-1&gt;&lt;abbr-2&gt;Agron J&lt;/abbr-2&gt;&lt;/periodical&gt;&lt;pages&gt;464-465&lt;/pages&gt;&lt;volume&gt;54&lt;/volume&gt;&lt;number&gt;5&lt;/number&gt;&lt;dates&gt;&lt;year&gt;1962&lt;/year&gt;&lt;/dates&gt;&lt;isbn&gt;0002-1962&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(Bouyoucos 1962)</w:t>
      </w:r>
      <w:r w:rsidRPr="00417A14">
        <w:rPr>
          <w:rFonts w:ascii="Times New Roman" w:hAnsi="Times New Roman"/>
          <w:sz w:val="24"/>
          <w:szCs w:val="24"/>
        </w:rPr>
        <w:fldChar w:fldCharType="end"/>
      </w:r>
      <w:r w:rsidRPr="00417A14">
        <w:rPr>
          <w:rFonts w:ascii="Times New Roman" w:hAnsi="Times New Roman"/>
          <w:sz w:val="24"/>
          <w:szCs w:val="24"/>
        </w:rPr>
        <w:t xml:space="preserve"> was used for particle size distribution.</w:t>
      </w:r>
    </w:p>
    <w:p w14:paraId="01513D84" w14:textId="77777777" w:rsidR="00936876" w:rsidRPr="00417A14" w:rsidRDefault="00936876" w:rsidP="00936876">
      <w:pPr>
        <w:pStyle w:val="Heading1"/>
        <w:spacing w:line="480" w:lineRule="auto"/>
        <w:rPr>
          <w:lang w:val="en-GB"/>
        </w:rPr>
      </w:pPr>
    </w:p>
    <w:p w14:paraId="24B1AA33" w14:textId="77777777" w:rsidR="00936876" w:rsidRPr="00417A14" w:rsidRDefault="00936876" w:rsidP="00936876">
      <w:pPr>
        <w:pStyle w:val="Heading1"/>
        <w:spacing w:line="480" w:lineRule="auto"/>
        <w:rPr>
          <w:lang w:val="en-GB"/>
        </w:rPr>
      </w:pPr>
      <w:r w:rsidRPr="00417A14">
        <w:rPr>
          <w:lang w:val="en-GB"/>
        </w:rPr>
        <w:t xml:space="preserve">Results </w:t>
      </w:r>
    </w:p>
    <w:p w14:paraId="4EDB37AD" w14:textId="77777777" w:rsidR="00936876" w:rsidRPr="00417A14" w:rsidRDefault="00936876" w:rsidP="00936876">
      <w:pPr>
        <w:pStyle w:val="Heading1"/>
        <w:spacing w:before="0" w:beforeAutospacing="0" w:after="0" w:afterAutospacing="0" w:line="480" w:lineRule="auto"/>
        <w:rPr>
          <w:sz w:val="23"/>
          <w:szCs w:val="23"/>
        </w:rPr>
      </w:pPr>
      <w:r w:rsidRPr="00417A14">
        <w:rPr>
          <w:sz w:val="23"/>
          <w:szCs w:val="23"/>
        </w:rPr>
        <w:t>Physical and Chemical Properties of the experimental sites</w:t>
      </w:r>
    </w:p>
    <w:p w14:paraId="4AF3C253" w14:textId="628CB0BD" w:rsidR="00936876" w:rsidRPr="00417A14" w:rsidRDefault="00936876" w:rsidP="00936876">
      <w:pPr>
        <w:pStyle w:val="Heading1"/>
        <w:spacing w:before="0" w:beforeAutospacing="0" w:after="0" w:afterAutospacing="0" w:line="480" w:lineRule="auto"/>
        <w:rPr>
          <w:b w:val="0"/>
          <w:bCs w:val="0"/>
          <w:lang w:val="en-GB"/>
        </w:rPr>
      </w:pPr>
      <w:r w:rsidRPr="00417A14">
        <w:rPr>
          <w:b w:val="0"/>
          <w:bCs w:val="0"/>
          <w:lang w:val="en-GB"/>
        </w:rPr>
        <w:lastRenderedPageBreak/>
        <w:t xml:space="preserve">The initial physical and chemical properties of the experimental sites are presented in Table 1. The soils were sandy loam in texture with a pH value that is near neutral. The total N value was low (N &lt; 0.10%) while the </w:t>
      </w:r>
      <w:r w:rsidR="00587A53" w:rsidRPr="00417A14">
        <w:rPr>
          <w:b w:val="0"/>
          <w:bCs w:val="0"/>
          <w:lang w:val="en-GB"/>
        </w:rPr>
        <w:t>P-</w:t>
      </w:r>
      <w:r w:rsidRPr="00417A14">
        <w:rPr>
          <w:b w:val="0"/>
          <w:bCs w:val="0"/>
          <w:lang w:val="en-GB"/>
        </w:rPr>
        <w:t xml:space="preserve">value was moderate (P = 16.80 mg/kg. The values were rated according to the ratings of </w:t>
      </w:r>
      <w:r w:rsidRPr="00417A14">
        <w:rPr>
          <w:b w:val="0"/>
          <w:bCs w:val="0"/>
          <w:lang w:val="en-GB"/>
        </w:rPr>
        <w:fldChar w:fldCharType="begin"/>
      </w:r>
      <w:r w:rsidRPr="00417A14">
        <w:rPr>
          <w:b w:val="0"/>
          <w:bCs w:val="0"/>
          <w:lang w:val="en-GB"/>
        </w:rPr>
        <w:instrText xml:space="preserve"> ADDIN EN.CITE &lt;EndNote&gt;&lt;Cite&gt;&lt;Author&gt;Landon&lt;/Author&gt;&lt;Year&gt;2014&lt;/Year&gt;&lt;RecNum&gt;856&lt;/RecNum&gt;&lt;DisplayText&gt;(Landon 2014)&lt;/DisplayText&gt;&lt;record&gt;&lt;rec-number&gt;856&lt;/rec-number&gt;&lt;foreign-keys&gt;&lt;key app="EN" db-id="2vz9r9ed7zadxne0a0t5e5572x0farz0e0tp" timestamp="1591302035"&gt;856&lt;/key&gt;&lt;/foreign-keys&gt;&lt;ref-type name="Book Section"&gt;5&lt;/ref-type&gt;&lt;contributors&gt;&lt;authors&gt;&lt;author&gt;Landon, John Richard&lt;/author&gt;&lt;/authors&gt;&lt;/contributors&gt;&lt;titles&gt;&lt;title&gt;Booker tropical soil manual: a handbook for soil survey and agricultural land evaluation in the tropics and subtropics&lt;/title&gt;&lt;/titles&gt;&lt;pages&gt;530&lt;/pages&gt;&lt;dates&gt;&lt;year&gt;2014&lt;/year&gt;&lt;/dates&gt;&lt;pub-location&gt; New York, USA&lt;/pub-location&gt;&lt;publisher&gt;Routledge&lt;/publisher&gt;&lt;isbn&gt;1317902092&lt;/isbn&gt;&lt;urls&gt;&lt;/urls&gt;&lt;/record&gt;&lt;/Cite&gt;&lt;/EndNote&gt;</w:instrText>
      </w:r>
      <w:r w:rsidRPr="00417A14">
        <w:rPr>
          <w:b w:val="0"/>
          <w:bCs w:val="0"/>
          <w:lang w:val="en-GB"/>
        </w:rPr>
        <w:fldChar w:fldCharType="separate"/>
      </w:r>
      <w:r w:rsidRPr="00417A14">
        <w:rPr>
          <w:b w:val="0"/>
          <w:bCs w:val="0"/>
          <w:noProof/>
          <w:lang w:val="en-GB"/>
        </w:rPr>
        <w:t>(Landon 2014)</w:t>
      </w:r>
      <w:r w:rsidRPr="00417A14">
        <w:rPr>
          <w:b w:val="0"/>
          <w:bCs w:val="0"/>
          <w:lang w:val="en-GB"/>
        </w:rPr>
        <w:fldChar w:fldCharType="end"/>
      </w:r>
      <w:r w:rsidRPr="00417A14">
        <w:rPr>
          <w:b w:val="0"/>
          <w:bCs w:val="0"/>
          <w:lang w:val="en-GB"/>
        </w:rPr>
        <w:t xml:space="preserve">.  </w:t>
      </w:r>
    </w:p>
    <w:p w14:paraId="0472BD7A" w14:textId="77777777" w:rsidR="00936876" w:rsidRPr="00417A14" w:rsidRDefault="00936876" w:rsidP="00936876">
      <w:pPr>
        <w:spacing w:before="240" w:line="360" w:lineRule="auto"/>
        <w:jc w:val="both"/>
        <w:rPr>
          <w:rFonts w:ascii="Times New Roman" w:hAnsi="Times New Roman"/>
          <w:b/>
          <w:bCs/>
          <w:sz w:val="24"/>
          <w:szCs w:val="24"/>
        </w:rPr>
      </w:pPr>
      <w:bookmarkStart w:id="2" w:name="_Hlk45763318"/>
      <w:r w:rsidRPr="00417A14" w:rsidDel="00877D4A">
        <w:rPr>
          <w:rFonts w:ascii="Times New Roman" w:hAnsi="Times New Roman"/>
          <w:b/>
          <w:bCs/>
          <w:sz w:val="24"/>
          <w:szCs w:val="24"/>
        </w:rPr>
        <w:t>Table.1 Initial soil physical and chemical properties of the experimental 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48"/>
        <w:gridCol w:w="1650"/>
      </w:tblGrid>
      <w:tr w:rsidR="00417A14" w:rsidRPr="00417A14" w14:paraId="7CF851F6" w14:textId="77777777" w:rsidTr="007D5662">
        <w:tc>
          <w:tcPr>
            <w:tcW w:w="3510" w:type="dxa"/>
          </w:tcPr>
          <w:p w14:paraId="40DBA432"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sz w:val="24"/>
                <w:szCs w:val="24"/>
              </w:rPr>
              <w:t>Soil parameter</w:t>
            </w:r>
          </w:p>
        </w:tc>
        <w:tc>
          <w:tcPr>
            <w:tcW w:w="2148" w:type="dxa"/>
          </w:tcPr>
          <w:p w14:paraId="4536F8D1"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68F43DEB"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sz w:val="24"/>
                <w:szCs w:val="24"/>
              </w:rPr>
              <w:t>Value</w:t>
            </w:r>
          </w:p>
        </w:tc>
      </w:tr>
      <w:tr w:rsidR="00417A14" w:rsidRPr="00417A14" w14:paraId="1B98A8A6" w14:textId="77777777" w:rsidTr="007D5662">
        <w:tc>
          <w:tcPr>
            <w:tcW w:w="3510" w:type="dxa"/>
            <w:tcBorders>
              <w:top w:val="single" w:sz="4" w:space="0" w:color="auto"/>
              <w:bottom w:val="nil"/>
            </w:tcBorders>
          </w:tcPr>
          <w:p w14:paraId="5D6D324B"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Sand (%)</w:t>
            </w:r>
          </w:p>
        </w:tc>
        <w:tc>
          <w:tcPr>
            <w:tcW w:w="2148" w:type="dxa"/>
            <w:tcBorders>
              <w:top w:val="single" w:sz="4" w:space="0" w:color="auto"/>
              <w:bottom w:val="nil"/>
            </w:tcBorders>
          </w:tcPr>
          <w:p w14:paraId="412F3EB0"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Borders>
              <w:top w:val="single" w:sz="4" w:space="0" w:color="auto"/>
              <w:bottom w:val="nil"/>
            </w:tcBorders>
          </w:tcPr>
          <w:p w14:paraId="4C84BECD"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60.00</w:t>
            </w:r>
          </w:p>
        </w:tc>
      </w:tr>
      <w:tr w:rsidR="00417A14" w:rsidRPr="00417A14" w14:paraId="64283E73" w14:textId="77777777" w:rsidTr="007D5662">
        <w:tc>
          <w:tcPr>
            <w:tcW w:w="3510" w:type="dxa"/>
            <w:tcBorders>
              <w:top w:val="nil"/>
            </w:tcBorders>
          </w:tcPr>
          <w:p w14:paraId="4A8AAA8A"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Silt (%)</w:t>
            </w:r>
          </w:p>
        </w:tc>
        <w:tc>
          <w:tcPr>
            <w:tcW w:w="2148" w:type="dxa"/>
            <w:tcBorders>
              <w:top w:val="nil"/>
            </w:tcBorders>
          </w:tcPr>
          <w:p w14:paraId="44BD5FDA"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Borders>
              <w:top w:val="nil"/>
            </w:tcBorders>
          </w:tcPr>
          <w:p w14:paraId="3013015E"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38.00</w:t>
            </w:r>
          </w:p>
        </w:tc>
      </w:tr>
      <w:tr w:rsidR="00417A14" w:rsidRPr="00417A14" w14:paraId="6C749E88" w14:textId="77777777" w:rsidTr="007D5662">
        <w:tc>
          <w:tcPr>
            <w:tcW w:w="3510" w:type="dxa"/>
          </w:tcPr>
          <w:p w14:paraId="76F0B0AB"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Clay (%)</w:t>
            </w:r>
          </w:p>
        </w:tc>
        <w:tc>
          <w:tcPr>
            <w:tcW w:w="2148" w:type="dxa"/>
          </w:tcPr>
          <w:p w14:paraId="0AB689BC"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17CE9D48"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2.00</w:t>
            </w:r>
          </w:p>
        </w:tc>
      </w:tr>
      <w:tr w:rsidR="00417A14" w:rsidRPr="00417A14" w14:paraId="13942F8F" w14:textId="77777777" w:rsidTr="007D5662">
        <w:tc>
          <w:tcPr>
            <w:tcW w:w="3510" w:type="dxa"/>
          </w:tcPr>
          <w:p w14:paraId="50F2BD45"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pH (1:1 H</w:t>
            </w:r>
            <w:r w:rsidRPr="00417A14">
              <w:rPr>
                <w:rFonts w:ascii="Times New Roman" w:hAnsi="Times New Roman" w:cs="Times New Roman"/>
                <w:sz w:val="24"/>
                <w:szCs w:val="24"/>
                <w:vertAlign w:val="subscript"/>
              </w:rPr>
              <w:t>2</w:t>
            </w:r>
            <w:r w:rsidRPr="00417A14">
              <w:rPr>
                <w:rFonts w:ascii="Times New Roman" w:hAnsi="Times New Roman" w:cs="Times New Roman"/>
                <w:sz w:val="24"/>
                <w:szCs w:val="24"/>
              </w:rPr>
              <w:t>O)</w:t>
            </w:r>
          </w:p>
        </w:tc>
        <w:tc>
          <w:tcPr>
            <w:tcW w:w="2148" w:type="dxa"/>
          </w:tcPr>
          <w:p w14:paraId="0B53CF45"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29433D52"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6.52</w:t>
            </w:r>
          </w:p>
        </w:tc>
      </w:tr>
      <w:tr w:rsidR="00417A14" w:rsidRPr="00417A14" w14:paraId="381539F8" w14:textId="77777777" w:rsidTr="007D5662">
        <w:tc>
          <w:tcPr>
            <w:tcW w:w="3510" w:type="dxa"/>
          </w:tcPr>
          <w:p w14:paraId="36F14057" w14:textId="27154D55" w:rsidR="00936876" w:rsidRPr="00417A14" w:rsidRDefault="00936876">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 xml:space="preserve">Organic </w:t>
            </w:r>
            <w:r w:rsidR="00587A53" w:rsidRPr="00417A14">
              <w:rPr>
                <w:rFonts w:ascii="Times New Roman" w:hAnsi="Times New Roman" w:cs="Times New Roman"/>
                <w:sz w:val="24"/>
                <w:szCs w:val="24"/>
              </w:rPr>
              <w:t xml:space="preserve">carbon </w:t>
            </w:r>
            <w:r w:rsidRPr="00417A14">
              <w:rPr>
                <w:rFonts w:ascii="Times New Roman" w:hAnsi="Times New Roman" w:cs="Times New Roman"/>
                <w:sz w:val="24"/>
                <w:szCs w:val="24"/>
              </w:rPr>
              <w:t>(%)</w:t>
            </w:r>
          </w:p>
        </w:tc>
        <w:tc>
          <w:tcPr>
            <w:tcW w:w="2148" w:type="dxa"/>
          </w:tcPr>
          <w:p w14:paraId="603E16B4"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48F9F412"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0.90</w:t>
            </w:r>
          </w:p>
        </w:tc>
      </w:tr>
      <w:tr w:rsidR="00417A14" w:rsidRPr="00417A14" w14:paraId="15238420" w14:textId="77777777" w:rsidTr="007D5662">
        <w:tc>
          <w:tcPr>
            <w:tcW w:w="3510" w:type="dxa"/>
          </w:tcPr>
          <w:p w14:paraId="215DBA5C" w14:textId="66CE863A" w:rsidR="00936876" w:rsidRPr="00417A14" w:rsidRDefault="00936876" w:rsidP="00587A53">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 xml:space="preserve">Total </w:t>
            </w:r>
            <w:r w:rsidR="00587A53" w:rsidRPr="00417A14">
              <w:rPr>
                <w:rFonts w:ascii="Times New Roman" w:hAnsi="Times New Roman" w:cs="Times New Roman"/>
                <w:sz w:val="24"/>
                <w:szCs w:val="24"/>
              </w:rPr>
              <w:t>n</w:t>
            </w:r>
            <w:r w:rsidRPr="00417A14">
              <w:rPr>
                <w:rFonts w:ascii="Times New Roman" w:hAnsi="Times New Roman" w:cs="Times New Roman"/>
                <w:sz w:val="24"/>
                <w:szCs w:val="24"/>
              </w:rPr>
              <w:t>itrogen (%)</w:t>
            </w:r>
          </w:p>
        </w:tc>
        <w:tc>
          <w:tcPr>
            <w:tcW w:w="2148" w:type="dxa"/>
          </w:tcPr>
          <w:p w14:paraId="23C3180A"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0E7E0F74"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0.08</w:t>
            </w:r>
          </w:p>
        </w:tc>
      </w:tr>
      <w:tr w:rsidR="00417A14" w:rsidRPr="00417A14" w14:paraId="535BEF8D" w14:textId="77777777" w:rsidTr="007D5662">
        <w:tc>
          <w:tcPr>
            <w:tcW w:w="3510" w:type="dxa"/>
          </w:tcPr>
          <w:p w14:paraId="0E906ED5"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Available P (mg/kg)</w:t>
            </w:r>
          </w:p>
        </w:tc>
        <w:tc>
          <w:tcPr>
            <w:tcW w:w="2148" w:type="dxa"/>
          </w:tcPr>
          <w:p w14:paraId="55F8A57D"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3EF18A85"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16.98</w:t>
            </w:r>
          </w:p>
        </w:tc>
      </w:tr>
      <w:tr w:rsidR="00417A14" w:rsidRPr="00417A14" w14:paraId="1FD123ED" w14:textId="77777777" w:rsidTr="007D5662">
        <w:tc>
          <w:tcPr>
            <w:tcW w:w="3510" w:type="dxa"/>
          </w:tcPr>
          <w:p w14:paraId="0901C8E5"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Exchangeable cations (</w:t>
            </w:r>
            <w:proofErr w:type="spellStart"/>
            <w:r w:rsidRPr="00417A14">
              <w:rPr>
                <w:rFonts w:ascii="Times New Roman" w:hAnsi="Times New Roman" w:cs="Times New Roman"/>
                <w:sz w:val="24"/>
                <w:szCs w:val="24"/>
              </w:rPr>
              <w:t>cmol</w:t>
            </w:r>
            <w:proofErr w:type="spellEnd"/>
            <w:r w:rsidRPr="00417A14">
              <w:rPr>
                <w:rFonts w:ascii="Times New Roman" w:hAnsi="Times New Roman" w:cs="Times New Roman"/>
                <w:sz w:val="24"/>
                <w:szCs w:val="24"/>
                <w:vertAlign w:val="subscript"/>
              </w:rPr>
              <w:t xml:space="preserve">+ </w:t>
            </w:r>
            <w:r w:rsidRPr="00417A14">
              <w:rPr>
                <w:rFonts w:ascii="Times New Roman" w:hAnsi="Times New Roman" w:cs="Times New Roman"/>
                <w:sz w:val="24"/>
                <w:szCs w:val="24"/>
              </w:rPr>
              <w:t>/kg)</w:t>
            </w:r>
          </w:p>
        </w:tc>
        <w:tc>
          <w:tcPr>
            <w:tcW w:w="2148" w:type="dxa"/>
          </w:tcPr>
          <w:p w14:paraId="2484B669"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12569CFC"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r>
      <w:tr w:rsidR="00417A14" w:rsidRPr="00417A14" w14:paraId="02736907" w14:textId="77777777" w:rsidTr="007D5662">
        <w:tc>
          <w:tcPr>
            <w:tcW w:w="3510" w:type="dxa"/>
          </w:tcPr>
          <w:p w14:paraId="355BED4D"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Ca</w:t>
            </w:r>
            <w:r w:rsidRPr="00417A14">
              <w:rPr>
                <w:rFonts w:ascii="Times New Roman" w:hAnsi="Times New Roman" w:cs="Times New Roman"/>
                <w:sz w:val="24"/>
                <w:szCs w:val="24"/>
                <w:vertAlign w:val="superscript"/>
              </w:rPr>
              <w:t>2+</w:t>
            </w:r>
          </w:p>
        </w:tc>
        <w:tc>
          <w:tcPr>
            <w:tcW w:w="2148" w:type="dxa"/>
          </w:tcPr>
          <w:p w14:paraId="22AB7146"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26255D27"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9.00</w:t>
            </w:r>
          </w:p>
        </w:tc>
      </w:tr>
      <w:tr w:rsidR="00417A14" w:rsidRPr="00417A14" w14:paraId="75021924" w14:textId="77777777" w:rsidTr="007D5662">
        <w:tc>
          <w:tcPr>
            <w:tcW w:w="3510" w:type="dxa"/>
          </w:tcPr>
          <w:p w14:paraId="2090EC70"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Mg</w:t>
            </w:r>
            <w:r w:rsidRPr="00417A14">
              <w:rPr>
                <w:rFonts w:ascii="Times New Roman" w:hAnsi="Times New Roman" w:cs="Times New Roman"/>
                <w:sz w:val="24"/>
                <w:szCs w:val="24"/>
                <w:vertAlign w:val="superscript"/>
              </w:rPr>
              <w:t>2+</w:t>
            </w:r>
          </w:p>
        </w:tc>
        <w:tc>
          <w:tcPr>
            <w:tcW w:w="2148" w:type="dxa"/>
          </w:tcPr>
          <w:p w14:paraId="72CB55AF"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7DA318FA"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3.60</w:t>
            </w:r>
          </w:p>
        </w:tc>
      </w:tr>
      <w:tr w:rsidR="00417A14" w:rsidRPr="00417A14" w14:paraId="5DE80ED0" w14:textId="77777777" w:rsidTr="007D5662">
        <w:tc>
          <w:tcPr>
            <w:tcW w:w="3510" w:type="dxa"/>
          </w:tcPr>
          <w:p w14:paraId="6C8B70B0"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 xml:space="preserve">K </w:t>
            </w:r>
            <w:r w:rsidRPr="00417A14">
              <w:rPr>
                <w:rFonts w:ascii="Times New Roman" w:hAnsi="Times New Roman" w:cs="Times New Roman"/>
                <w:sz w:val="24"/>
                <w:szCs w:val="24"/>
                <w:vertAlign w:val="superscript"/>
              </w:rPr>
              <w:t>2+</w:t>
            </w:r>
          </w:p>
        </w:tc>
        <w:tc>
          <w:tcPr>
            <w:tcW w:w="2148" w:type="dxa"/>
          </w:tcPr>
          <w:p w14:paraId="3C6EFE75"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0924A559"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0.23</w:t>
            </w:r>
          </w:p>
        </w:tc>
      </w:tr>
      <w:tr w:rsidR="00417A14" w:rsidRPr="00417A14" w14:paraId="33C1FA38" w14:textId="77777777" w:rsidTr="007D5662">
        <w:tc>
          <w:tcPr>
            <w:tcW w:w="3510" w:type="dxa"/>
          </w:tcPr>
          <w:p w14:paraId="2A8D2658"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Na</w:t>
            </w:r>
            <w:r w:rsidRPr="00417A14">
              <w:rPr>
                <w:rFonts w:ascii="Times New Roman" w:hAnsi="Times New Roman" w:cs="Times New Roman"/>
                <w:sz w:val="24"/>
                <w:szCs w:val="24"/>
                <w:vertAlign w:val="superscript"/>
              </w:rPr>
              <w:t>2+</w:t>
            </w:r>
          </w:p>
        </w:tc>
        <w:tc>
          <w:tcPr>
            <w:tcW w:w="2148" w:type="dxa"/>
          </w:tcPr>
          <w:p w14:paraId="0404BD36"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44DB7FC8"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0.18</w:t>
            </w:r>
          </w:p>
        </w:tc>
      </w:tr>
      <w:tr w:rsidR="00417A14" w:rsidRPr="00417A14" w14:paraId="6468D4B4" w14:textId="77777777" w:rsidTr="007D5662">
        <w:tc>
          <w:tcPr>
            <w:tcW w:w="3510" w:type="dxa"/>
          </w:tcPr>
          <w:p w14:paraId="33A8F2A9"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Total exchangeable bases</w:t>
            </w:r>
          </w:p>
        </w:tc>
        <w:tc>
          <w:tcPr>
            <w:tcW w:w="2148" w:type="dxa"/>
          </w:tcPr>
          <w:p w14:paraId="73721FB3"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7C36FBDA"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12.90</w:t>
            </w:r>
          </w:p>
        </w:tc>
      </w:tr>
      <w:tr w:rsidR="00417A14" w:rsidRPr="00417A14" w14:paraId="651A0621" w14:textId="77777777" w:rsidTr="007D5662">
        <w:tc>
          <w:tcPr>
            <w:tcW w:w="3510" w:type="dxa"/>
          </w:tcPr>
          <w:p w14:paraId="24B4D6A2"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Al</w:t>
            </w:r>
            <w:r w:rsidRPr="00417A14">
              <w:rPr>
                <w:rFonts w:ascii="Times New Roman" w:hAnsi="Times New Roman" w:cs="Times New Roman"/>
                <w:sz w:val="24"/>
                <w:szCs w:val="24"/>
                <w:vertAlign w:val="superscript"/>
              </w:rPr>
              <w:t>3+</w:t>
            </w:r>
          </w:p>
        </w:tc>
        <w:tc>
          <w:tcPr>
            <w:tcW w:w="2148" w:type="dxa"/>
          </w:tcPr>
          <w:p w14:paraId="489AC524"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7489CA12"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1.60</w:t>
            </w:r>
          </w:p>
        </w:tc>
      </w:tr>
      <w:tr w:rsidR="00417A14" w:rsidRPr="00417A14" w14:paraId="6333A2DC" w14:textId="77777777" w:rsidTr="007D5662">
        <w:tc>
          <w:tcPr>
            <w:tcW w:w="3510" w:type="dxa"/>
          </w:tcPr>
          <w:p w14:paraId="326A07EA"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H</w:t>
            </w:r>
            <w:r w:rsidRPr="00417A14">
              <w:rPr>
                <w:rFonts w:ascii="Times New Roman" w:hAnsi="Times New Roman" w:cs="Times New Roman"/>
                <w:sz w:val="24"/>
                <w:szCs w:val="24"/>
                <w:vertAlign w:val="superscript"/>
              </w:rPr>
              <w:t>+</w:t>
            </w:r>
          </w:p>
        </w:tc>
        <w:tc>
          <w:tcPr>
            <w:tcW w:w="2148" w:type="dxa"/>
          </w:tcPr>
          <w:p w14:paraId="28BE7360"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2D5CFBC6"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1.20</w:t>
            </w:r>
          </w:p>
        </w:tc>
      </w:tr>
      <w:tr w:rsidR="00417A14" w:rsidRPr="00417A14" w14:paraId="2E3D1557" w14:textId="77777777" w:rsidTr="007D5662">
        <w:tc>
          <w:tcPr>
            <w:tcW w:w="3510" w:type="dxa"/>
          </w:tcPr>
          <w:p w14:paraId="4EFBBA26"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ECEC</w:t>
            </w:r>
          </w:p>
        </w:tc>
        <w:tc>
          <w:tcPr>
            <w:tcW w:w="2148" w:type="dxa"/>
          </w:tcPr>
          <w:p w14:paraId="2A2110AF"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p>
        </w:tc>
        <w:tc>
          <w:tcPr>
            <w:tcW w:w="1650" w:type="dxa"/>
          </w:tcPr>
          <w:p w14:paraId="5189CAFC" w14:textId="77777777" w:rsidR="00936876" w:rsidRPr="00417A14" w:rsidRDefault="00936876" w:rsidP="007D5662">
            <w:pPr>
              <w:tabs>
                <w:tab w:val="left" w:pos="2970"/>
              </w:tabs>
              <w:autoSpaceDE w:val="0"/>
              <w:autoSpaceDN w:val="0"/>
              <w:adjustRightInd w:val="0"/>
              <w:spacing w:line="360" w:lineRule="auto"/>
              <w:jc w:val="both"/>
              <w:rPr>
                <w:rFonts w:ascii="Times New Roman" w:hAnsi="Times New Roman" w:cs="Times New Roman"/>
                <w:sz w:val="24"/>
                <w:szCs w:val="24"/>
              </w:rPr>
            </w:pPr>
            <w:r w:rsidRPr="00417A14">
              <w:rPr>
                <w:rFonts w:ascii="Times New Roman" w:hAnsi="Times New Roman" w:cs="Times New Roman"/>
                <w:sz w:val="24"/>
                <w:szCs w:val="24"/>
              </w:rPr>
              <w:t>15.70</w:t>
            </w:r>
          </w:p>
        </w:tc>
      </w:tr>
    </w:tbl>
    <w:p w14:paraId="786884BE" w14:textId="77777777" w:rsidR="00936876" w:rsidRPr="00417A14" w:rsidRDefault="00936876" w:rsidP="00936876">
      <w:pPr>
        <w:spacing w:after="0" w:line="240" w:lineRule="auto"/>
        <w:jc w:val="both"/>
        <w:rPr>
          <w:rFonts w:ascii="Times New Roman" w:eastAsia="Times New Roman" w:hAnsi="Times New Roman"/>
          <w:bCs/>
          <w:sz w:val="24"/>
          <w:szCs w:val="24"/>
          <w:lang w:val="en-GB"/>
        </w:rPr>
      </w:pPr>
      <w:r w:rsidRPr="00417A14">
        <w:rPr>
          <w:rFonts w:ascii="Times New Roman" w:eastAsia="Times New Roman" w:hAnsi="Times New Roman"/>
          <w:bCs/>
          <w:sz w:val="24"/>
          <w:szCs w:val="24"/>
          <w:lang w:val="en-GB"/>
        </w:rPr>
        <w:t>Ca</w:t>
      </w:r>
      <w:r w:rsidRPr="00417A14">
        <w:rPr>
          <w:rFonts w:ascii="Times New Roman" w:eastAsia="Times New Roman" w:hAnsi="Times New Roman"/>
          <w:bCs/>
          <w:sz w:val="24"/>
          <w:szCs w:val="24"/>
          <w:vertAlign w:val="superscript"/>
          <w:lang w:val="en-GB"/>
        </w:rPr>
        <w:t>2+</w:t>
      </w:r>
      <w:r w:rsidRPr="00417A14">
        <w:rPr>
          <w:rFonts w:ascii="Times New Roman" w:eastAsia="Times New Roman" w:hAnsi="Times New Roman"/>
          <w:bCs/>
          <w:sz w:val="24"/>
          <w:szCs w:val="24"/>
          <w:lang w:val="en-GB"/>
        </w:rPr>
        <w:t>, Mg</w:t>
      </w:r>
      <w:r w:rsidRPr="00417A14">
        <w:rPr>
          <w:rFonts w:ascii="Times New Roman" w:eastAsia="Times New Roman" w:hAnsi="Times New Roman"/>
          <w:bCs/>
          <w:sz w:val="24"/>
          <w:szCs w:val="24"/>
          <w:vertAlign w:val="superscript"/>
          <w:lang w:val="en-GB"/>
        </w:rPr>
        <w:t>2+</w:t>
      </w:r>
      <w:r w:rsidRPr="00417A14">
        <w:rPr>
          <w:rFonts w:ascii="Times New Roman" w:eastAsia="Times New Roman" w:hAnsi="Times New Roman"/>
          <w:bCs/>
          <w:sz w:val="24"/>
          <w:szCs w:val="24"/>
          <w:lang w:val="en-GB"/>
        </w:rPr>
        <w:t>, K</w:t>
      </w:r>
      <w:r w:rsidRPr="00417A14">
        <w:rPr>
          <w:rFonts w:ascii="Times New Roman" w:eastAsia="Times New Roman" w:hAnsi="Times New Roman"/>
          <w:bCs/>
          <w:sz w:val="24"/>
          <w:szCs w:val="24"/>
          <w:vertAlign w:val="superscript"/>
          <w:lang w:val="en-GB"/>
        </w:rPr>
        <w:t>2+</w:t>
      </w:r>
      <w:r w:rsidRPr="00417A14">
        <w:rPr>
          <w:rFonts w:ascii="Times New Roman" w:eastAsia="Times New Roman" w:hAnsi="Times New Roman"/>
          <w:bCs/>
          <w:sz w:val="24"/>
          <w:szCs w:val="24"/>
          <w:lang w:val="en-GB"/>
        </w:rPr>
        <w:t>, Na</w:t>
      </w:r>
      <w:r w:rsidRPr="00417A14">
        <w:rPr>
          <w:rFonts w:ascii="Times New Roman" w:eastAsia="Times New Roman" w:hAnsi="Times New Roman"/>
          <w:bCs/>
          <w:sz w:val="24"/>
          <w:szCs w:val="24"/>
          <w:vertAlign w:val="superscript"/>
          <w:lang w:val="en-GB"/>
        </w:rPr>
        <w:t>2+</w:t>
      </w:r>
      <w:r w:rsidRPr="00417A14">
        <w:rPr>
          <w:rFonts w:ascii="Times New Roman" w:eastAsia="Times New Roman" w:hAnsi="Times New Roman"/>
          <w:bCs/>
          <w:sz w:val="24"/>
          <w:szCs w:val="24"/>
          <w:lang w:val="en-GB"/>
        </w:rPr>
        <w:t>, Al</w:t>
      </w:r>
      <w:r w:rsidRPr="00417A14">
        <w:rPr>
          <w:rFonts w:ascii="Times New Roman" w:eastAsia="Times New Roman" w:hAnsi="Times New Roman"/>
          <w:bCs/>
          <w:sz w:val="24"/>
          <w:szCs w:val="24"/>
          <w:vertAlign w:val="superscript"/>
          <w:lang w:val="en-GB"/>
        </w:rPr>
        <w:t>3+</w:t>
      </w:r>
      <w:r w:rsidRPr="00417A14">
        <w:rPr>
          <w:rFonts w:ascii="Times New Roman" w:eastAsia="Times New Roman" w:hAnsi="Times New Roman"/>
          <w:bCs/>
          <w:sz w:val="24"/>
          <w:szCs w:val="24"/>
          <w:lang w:val="en-GB"/>
        </w:rPr>
        <w:t xml:space="preserve"> and H</w:t>
      </w:r>
      <w:r w:rsidRPr="00417A14">
        <w:rPr>
          <w:rFonts w:ascii="Times New Roman" w:eastAsia="Times New Roman" w:hAnsi="Times New Roman"/>
          <w:bCs/>
          <w:sz w:val="24"/>
          <w:szCs w:val="24"/>
          <w:vertAlign w:val="superscript"/>
          <w:lang w:val="en-GB"/>
        </w:rPr>
        <w:t xml:space="preserve">+ </w:t>
      </w:r>
      <w:r w:rsidRPr="00417A14">
        <w:rPr>
          <w:rFonts w:ascii="Times New Roman" w:eastAsia="Times New Roman" w:hAnsi="Times New Roman"/>
          <w:bCs/>
          <w:sz w:val="24"/>
          <w:szCs w:val="24"/>
          <w:lang w:val="en-GB"/>
        </w:rPr>
        <w:t xml:space="preserve">refer to Calcium, Magnesium, Potassium, Sodium, Aluminium and Hydrogen ions respectively; ECEC is the Effective Cation Exchange Capacity while pH is a scale of acidity from 0 to 14. </w:t>
      </w:r>
    </w:p>
    <w:p w14:paraId="5CB95A91" w14:textId="77777777" w:rsidR="00936876" w:rsidRPr="00417A14" w:rsidRDefault="00936876" w:rsidP="00936876">
      <w:pPr>
        <w:pStyle w:val="Heading2"/>
        <w:spacing w:line="480" w:lineRule="auto"/>
      </w:pPr>
      <w:bookmarkStart w:id="3" w:name="_Hlk45677665"/>
      <w:bookmarkStart w:id="4" w:name="_Hlk44462391"/>
      <w:bookmarkEnd w:id="2"/>
      <w:r w:rsidRPr="00417A14">
        <w:t>Effect of fertilizer treatments on cowpea grain yield</w:t>
      </w:r>
    </w:p>
    <w:p w14:paraId="4DD45C18" w14:textId="57F8425C" w:rsidR="00936876" w:rsidRPr="00417A14" w:rsidRDefault="00936876" w:rsidP="00936876">
      <w:pPr>
        <w:tabs>
          <w:tab w:val="left" w:pos="2970"/>
        </w:tabs>
        <w:spacing w:line="480" w:lineRule="auto"/>
        <w:jc w:val="both"/>
        <w:rPr>
          <w:rFonts w:ascii="Times New Roman" w:hAnsi="Times New Roman"/>
          <w:sz w:val="24"/>
          <w:szCs w:val="24"/>
        </w:rPr>
      </w:pPr>
      <w:r w:rsidRPr="00417A14">
        <w:rPr>
          <w:rFonts w:ascii="Times New Roman" w:eastAsiaTheme="minorHAnsi" w:hAnsi="Times New Roman"/>
          <w:sz w:val="24"/>
          <w:szCs w:val="24"/>
          <w:lang w:val="en-AU"/>
        </w:rPr>
        <w:t>Effect of fertilizer rates on cowpea grain yield in 2012 and 2013 cropping season</w:t>
      </w:r>
      <w:r w:rsidR="00587A53" w:rsidRPr="00417A14">
        <w:rPr>
          <w:rFonts w:ascii="Times New Roman" w:eastAsiaTheme="minorHAnsi" w:hAnsi="Times New Roman"/>
          <w:sz w:val="24"/>
          <w:szCs w:val="24"/>
          <w:lang w:val="en-AU"/>
        </w:rPr>
        <w:t xml:space="preserve"> and</w:t>
      </w:r>
      <w:r w:rsidRPr="00417A14">
        <w:rPr>
          <w:rFonts w:ascii="Times New Roman" w:eastAsiaTheme="minorHAnsi" w:hAnsi="Times New Roman"/>
          <w:sz w:val="24"/>
          <w:szCs w:val="24"/>
          <w:lang w:val="en-AU"/>
        </w:rPr>
        <w:t xml:space="preserve"> effects of cropping season (2012 and 2013) on the response of cowpea grain yield to all fertilizer rates at Nyoli</w:t>
      </w:r>
      <w:r w:rsidRPr="00417A14">
        <w:rPr>
          <w:rFonts w:ascii="Times New Roman" w:hAnsi="Times New Roman"/>
          <w:sz w:val="24"/>
          <w:szCs w:val="24"/>
        </w:rPr>
        <w:t xml:space="preserve"> are presented in Tables 2 and 3, respectively. As expected, the yield response showed a similar trend in the 2 cropping seasons of study as all the treatments gave higher </w:t>
      </w:r>
      <w:r w:rsidRPr="00417A14">
        <w:rPr>
          <w:rFonts w:ascii="Times New Roman" w:hAnsi="Times New Roman"/>
          <w:sz w:val="24"/>
          <w:szCs w:val="24"/>
        </w:rPr>
        <w:lastRenderedPageBreak/>
        <w:t>grain yield than the control for both seasons. The highest grain yield was recorded by fertilizer application rate of 20 – 30 – 20 kg N - P</w:t>
      </w:r>
      <w:r w:rsidRPr="00417A14">
        <w:rPr>
          <w:rFonts w:ascii="Times New Roman" w:hAnsi="Times New Roman"/>
          <w:sz w:val="24"/>
          <w:szCs w:val="24"/>
          <w:vertAlign w:val="subscript"/>
        </w:rPr>
        <w:t>2</w:t>
      </w:r>
      <w:r w:rsidRPr="00417A14">
        <w:rPr>
          <w:rFonts w:ascii="Times New Roman" w:hAnsi="Times New Roman"/>
          <w:sz w:val="24"/>
          <w:szCs w:val="24"/>
        </w:rPr>
        <w:t>O</w:t>
      </w:r>
      <w:r w:rsidRPr="00417A14">
        <w:rPr>
          <w:rFonts w:ascii="Times New Roman" w:hAnsi="Times New Roman"/>
          <w:sz w:val="24"/>
          <w:szCs w:val="24"/>
          <w:vertAlign w:val="subscript"/>
        </w:rPr>
        <w:t xml:space="preserve">5 </w:t>
      </w:r>
      <w:r w:rsidRPr="00417A14">
        <w:rPr>
          <w:rFonts w:ascii="Times New Roman" w:hAnsi="Times New Roman"/>
          <w:sz w:val="24"/>
          <w:szCs w:val="24"/>
        </w:rPr>
        <w:t>- K</w:t>
      </w:r>
      <w:r w:rsidRPr="00417A14">
        <w:rPr>
          <w:rFonts w:ascii="Times New Roman" w:hAnsi="Times New Roman"/>
          <w:sz w:val="24"/>
          <w:szCs w:val="24"/>
          <w:vertAlign w:val="subscript"/>
        </w:rPr>
        <w:t>2</w:t>
      </w:r>
      <w:r w:rsidRPr="00417A14">
        <w:rPr>
          <w:rFonts w:ascii="Times New Roman" w:hAnsi="Times New Roman"/>
          <w:sz w:val="24"/>
          <w:szCs w:val="24"/>
        </w:rPr>
        <w:t>O/ha in both cropping seasons. The grain yield was 112.35% more than the control in the first year and 129.49% in the second year. Lower fertilizer application rates of 10 – 15 – 10 kg N-P</w:t>
      </w:r>
      <w:r w:rsidRPr="00417A14">
        <w:rPr>
          <w:rFonts w:ascii="Times New Roman" w:hAnsi="Times New Roman"/>
          <w:sz w:val="24"/>
          <w:szCs w:val="24"/>
          <w:vertAlign w:val="subscript"/>
        </w:rPr>
        <w:t>2</w:t>
      </w:r>
      <w:r w:rsidRPr="00417A14">
        <w:rPr>
          <w:rFonts w:ascii="Times New Roman" w:hAnsi="Times New Roman"/>
          <w:sz w:val="24"/>
          <w:szCs w:val="24"/>
        </w:rPr>
        <w:t>O</w:t>
      </w:r>
      <w:r w:rsidRPr="00417A14">
        <w:rPr>
          <w:rFonts w:ascii="Times New Roman" w:hAnsi="Times New Roman"/>
          <w:sz w:val="24"/>
          <w:szCs w:val="24"/>
          <w:vertAlign w:val="subscript"/>
        </w:rPr>
        <w:t>5</w:t>
      </w:r>
      <w:r w:rsidRPr="00417A14">
        <w:rPr>
          <w:rFonts w:ascii="Times New Roman" w:hAnsi="Times New Roman"/>
          <w:sz w:val="24"/>
          <w:szCs w:val="24"/>
        </w:rPr>
        <w:t>- K</w:t>
      </w:r>
      <w:r w:rsidRPr="00417A14">
        <w:rPr>
          <w:rFonts w:ascii="Times New Roman" w:hAnsi="Times New Roman"/>
          <w:sz w:val="24"/>
          <w:szCs w:val="24"/>
          <w:vertAlign w:val="subscript"/>
        </w:rPr>
        <w:t>2</w:t>
      </w:r>
      <w:r w:rsidRPr="00417A14">
        <w:rPr>
          <w:rFonts w:ascii="Times New Roman" w:hAnsi="Times New Roman"/>
          <w:sz w:val="24"/>
          <w:szCs w:val="24"/>
        </w:rPr>
        <w:t xml:space="preserve">O/ha gave a grain yield of 1.05 and 1.27 tons/ha in 2012 and 2013 seasons. There was no significant increase in grain yield with </w:t>
      </w:r>
      <w:r w:rsidR="00587A53" w:rsidRPr="00417A14">
        <w:rPr>
          <w:rFonts w:ascii="Times New Roman" w:hAnsi="Times New Roman"/>
          <w:sz w:val="24"/>
          <w:szCs w:val="24"/>
        </w:rPr>
        <w:t>P's increased application</w:t>
      </w:r>
      <w:r w:rsidRPr="00417A14">
        <w:rPr>
          <w:rFonts w:ascii="Times New Roman" w:hAnsi="Times New Roman"/>
          <w:sz w:val="24"/>
          <w:szCs w:val="24"/>
        </w:rPr>
        <w:t xml:space="preserve"> from 30 to 45 kg P</w:t>
      </w:r>
      <w:r w:rsidRPr="00417A14">
        <w:rPr>
          <w:rFonts w:ascii="Times New Roman" w:hAnsi="Times New Roman"/>
          <w:sz w:val="24"/>
          <w:szCs w:val="24"/>
          <w:vertAlign w:val="subscript"/>
        </w:rPr>
        <w:t>2</w:t>
      </w:r>
      <w:r w:rsidRPr="00417A14">
        <w:rPr>
          <w:rFonts w:ascii="Times New Roman" w:hAnsi="Times New Roman"/>
          <w:sz w:val="24"/>
          <w:szCs w:val="24"/>
        </w:rPr>
        <w:t>O</w:t>
      </w:r>
      <w:r w:rsidRPr="00417A14">
        <w:rPr>
          <w:rFonts w:ascii="Times New Roman" w:hAnsi="Times New Roman"/>
          <w:sz w:val="24"/>
          <w:szCs w:val="24"/>
          <w:vertAlign w:val="subscript"/>
        </w:rPr>
        <w:t>5</w:t>
      </w:r>
      <w:r w:rsidRPr="00417A14">
        <w:rPr>
          <w:rFonts w:ascii="Times New Roman" w:hAnsi="Times New Roman"/>
          <w:sz w:val="24"/>
          <w:szCs w:val="24"/>
        </w:rPr>
        <w:t>/ha. N - P</w:t>
      </w:r>
      <w:r w:rsidRPr="00417A14">
        <w:rPr>
          <w:rFonts w:ascii="Times New Roman" w:hAnsi="Times New Roman"/>
          <w:sz w:val="24"/>
          <w:szCs w:val="24"/>
          <w:vertAlign w:val="subscript"/>
        </w:rPr>
        <w:t>2</w:t>
      </w:r>
      <w:r w:rsidRPr="00417A14">
        <w:rPr>
          <w:rFonts w:ascii="Times New Roman" w:hAnsi="Times New Roman"/>
          <w:sz w:val="24"/>
          <w:szCs w:val="24"/>
        </w:rPr>
        <w:t>O</w:t>
      </w:r>
      <w:r w:rsidRPr="00417A14">
        <w:rPr>
          <w:rFonts w:ascii="Times New Roman" w:hAnsi="Times New Roman"/>
          <w:sz w:val="24"/>
          <w:szCs w:val="24"/>
          <w:vertAlign w:val="subscript"/>
        </w:rPr>
        <w:t xml:space="preserve">5 </w:t>
      </w:r>
      <w:r w:rsidRPr="00417A14">
        <w:rPr>
          <w:rFonts w:ascii="Times New Roman" w:hAnsi="Times New Roman"/>
          <w:sz w:val="24"/>
          <w:szCs w:val="24"/>
        </w:rPr>
        <w:t>- K</w:t>
      </w:r>
      <w:r w:rsidRPr="00417A14">
        <w:rPr>
          <w:rFonts w:ascii="Times New Roman" w:hAnsi="Times New Roman"/>
          <w:sz w:val="24"/>
          <w:szCs w:val="24"/>
          <w:vertAlign w:val="subscript"/>
        </w:rPr>
        <w:t>2</w:t>
      </w:r>
      <w:r w:rsidRPr="00417A14">
        <w:rPr>
          <w:rFonts w:ascii="Times New Roman" w:hAnsi="Times New Roman"/>
          <w:sz w:val="24"/>
          <w:szCs w:val="24"/>
        </w:rPr>
        <w:t>O application rate of 20 – 15 – 20 and 20 – 30 – 10 gave grain yields of 1.35 and 1.65 tons/ha in the first year and 1.30 and 1.43 tons/ha respectively in the second year. Increasing N, P and K application in treatment 30 – 45 – 30 kg N-P</w:t>
      </w:r>
      <w:r w:rsidRPr="00417A14">
        <w:rPr>
          <w:rFonts w:ascii="Times New Roman" w:hAnsi="Times New Roman"/>
          <w:sz w:val="24"/>
          <w:szCs w:val="24"/>
          <w:vertAlign w:val="subscript"/>
        </w:rPr>
        <w:t>2</w:t>
      </w:r>
      <w:r w:rsidRPr="00417A14">
        <w:rPr>
          <w:rFonts w:ascii="Times New Roman" w:hAnsi="Times New Roman"/>
          <w:sz w:val="24"/>
          <w:szCs w:val="24"/>
        </w:rPr>
        <w:t>O</w:t>
      </w:r>
      <w:r w:rsidRPr="00417A14">
        <w:rPr>
          <w:rFonts w:ascii="Times New Roman" w:hAnsi="Times New Roman"/>
          <w:sz w:val="24"/>
          <w:szCs w:val="24"/>
          <w:vertAlign w:val="subscript"/>
        </w:rPr>
        <w:t>5</w:t>
      </w:r>
      <w:r w:rsidRPr="00417A14">
        <w:rPr>
          <w:rFonts w:ascii="Times New Roman" w:hAnsi="Times New Roman"/>
          <w:sz w:val="24"/>
          <w:szCs w:val="24"/>
        </w:rPr>
        <w:t>- K</w:t>
      </w:r>
      <w:r w:rsidRPr="00417A14">
        <w:rPr>
          <w:rFonts w:ascii="Times New Roman" w:hAnsi="Times New Roman"/>
          <w:sz w:val="24"/>
          <w:szCs w:val="24"/>
          <w:vertAlign w:val="subscript"/>
        </w:rPr>
        <w:t>2</w:t>
      </w:r>
      <w:r w:rsidRPr="00417A14">
        <w:rPr>
          <w:rFonts w:ascii="Times New Roman" w:hAnsi="Times New Roman"/>
          <w:sz w:val="24"/>
          <w:szCs w:val="24"/>
        </w:rPr>
        <w:t xml:space="preserve">O/ha gave a rain yield of 1.54 and 1.58 tons/ha in 2012 and 2013, respectively. </w:t>
      </w:r>
    </w:p>
    <w:p w14:paraId="66DDE261" w14:textId="77777777" w:rsidR="00936876" w:rsidRPr="00417A14" w:rsidRDefault="00936876" w:rsidP="00936876">
      <w:pPr>
        <w:spacing w:line="360" w:lineRule="auto"/>
        <w:rPr>
          <w:rFonts w:ascii="Times New Roman" w:hAnsi="Times New Roman"/>
          <w:b/>
          <w:sz w:val="24"/>
          <w:szCs w:val="24"/>
          <w:lang w:val="en-AU"/>
        </w:rPr>
      </w:pPr>
      <w:bookmarkStart w:id="5" w:name="_Hlk45677679"/>
      <w:bookmarkStart w:id="6" w:name="_Hlk45763338"/>
      <w:bookmarkEnd w:id="3"/>
      <w:r w:rsidRPr="00417A14" w:rsidDel="001300B4">
        <w:rPr>
          <w:rFonts w:ascii="Times New Roman" w:hAnsi="Times New Roman"/>
          <w:b/>
          <w:sz w:val="24"/>
          <w:szCs w:val="24"/>
          <w:lang w:val="en-AU"/>
        </w:rPr>
        <w:t>Table 2. Effect of fertilizer rates on cowpea grain yield in 2012 and 2013 cropping season.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509"/>
        <w:gridCol w:w="1101"/>
        <w:gridCol w:w="249"/>
        <w:gridCol w:w="1292"/>
        <w:gridCol w:w="249"/>
        <w:gridCol w:w="1070"/>
        <w:gridCol w:w="80"/>
        <w:gridCol w:w="1362"/>
        <w:gridCol w:w="249"/>
      </w:tblGrid>
      <w:tr w:rsidR="00417A14" w:rsidRPr="00417A14" w14:paraId="2909537C" w14:textId="77777777" w:rsidTr="007D5662">
        <w:trPr>
          <w:jc w:val="center"/>
        </w:trPr>
        <w:tc>
          <w:tcPr>
            <w:tcW w:w="2358" w:type="dxa"/>
            <w:gridSpan w:val="2"/>
            <w:tcBorders>
              <w:top w:val="single" w:sz="4" w:space="0" w:color="auto"/>
              <w:bottom w:val="single" w:sz="4" w:space="0" w:color="auto"/>
            </w:tcBorders>
          </w:tcPr>
          <w:p w14:paraId="69427F06"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bookmarkStart w:id="7" w:name="_Hlk45244281"/>
            <w:r w:rsidRPr="00417A14">
              <w:rPr>
                <w:rFonts w:ascii="Times New Roman" w:hAnsi="Times New Roman" w:cs="Times New Roman"/>
                <w:sz w:val="24"/>
                <w:szCs w:val="24"/>
              </w:rPr>
              <w:t>Fertilizer rates</w:t>
            </w:r>
          </w:p>
          <w:p w14:paraId="370FF693"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(N-P</w:t>
            </w:r>
            <w:r w:rsidRPr="00417A14">
              <w:rPr>
                <w:rFonts w:ascii="Times New Roman" w:hAnsi="Times New Roman" w:cs="Times New Roman"/>
                <w:sz w:val="24"/>
                <w:szCs w:val="24"/>
                <w:vertAlign w:val="subscript"/>
              </w:rPr>
              <w:t>2</w:t>
            </w:r>
            <w:r w:rsidRPr="00417A14">
              <w:rPr>
                <w:rFonts w:ascii="Times New Roman" w:hAnsi="Times New Roman" w:cs="Times New Roman"/>
                <w:sz w:val="24"/>
                <w:szCs w:val="24"/>
              </w:rPr>
              <w:t>O</w:t>
            </w:r>
            <w:r w:rsidRPr="00417A14">
              <w:rPr>
                <w:rFonts w:ascii="Times New Roman" w:hAnsi="Times New Roman" w:cs="Times New Roman"/>
                <w:sz w:val="24"/>
                <w:szCs w:val="24"/>
                <w:vertAlign w:val="subscript"/>
              </w:rPr>
              <w:t>5</w:t>
            </w:r>
            <w:r w:rsidRPr="00417A14">
              <w:rPr>
                <w:rFonts w:ascii="Times New Roman" w:hAnsi="Times New Roman" w:cs="Times New Roman"/>
                <w:sz w:val="24"/>
                <w:szCs w:val="24"/>
              </w:rPr>
              <w:t>- K</w:t>
            </w:r>
            <w:r w:rsidRPr="00417A14">
              <w:rPr>
                <w:rFonts w:ascii="Times New Roman" w:hAnsi="Times New Roman" w:cs="Times New Roman"/>
                <w:sz w:val="24"/>
                <w:szCs w:val="24"/>
                <w:vertAlign w:val="subscript"/>
              </w:rPr>
              <w:t>2</w:t>
            </w:r>
            <w:r w:rsidRPr="00417A14">
              <w:rPr>
                <w:rFonts w:ascii="Times New Roman" w:hAnsi="Times New Roman" w:cs="Times New Roman"/>
                <w:sz w:val="24"/>
                <w:szCs w:val="24"/>
              </w:rPr>
              <w:t>O, kg/ha)</w:t>
            </w:r>
          </w:p>
        </w:tc>
        <w:tc>
          <w:tcPr>
            <w:tcW w:w="1350" w:type="dxa"/>
            <w:gridSpan w:val="2"/>
            <w:tcBorders>
              <w:top w:val="single" w:sz="4" w:space="0" w:color="auto"/>
              <w:bottom w:val="single" w:sz="4" w:space="0" w:color="auto"/>
            </w:tcBorders>
          </w:tcPr>
          <w:p w14:paraId="7A7346BB" w14:textId="77777777" w:rsidR="00936876" w:rsidRPr="00417A14" w:rsidRDefault="00936876" w:rsidP="007D5662">
            <w:pPr>
              <w:tabs>
                <w:tab w:val="left" w:pos="2970"/>
              </w:tabs>
              <w:spacing w:line="360" w:lineRule="auto"/>
              <w:rPr>
                <w:rFonts w:ascii="Times New Roman" w:hAnsi="Times New Roman" w:cs="Times New Roman"/>
                <w:sz w:val="24"/>
                <w:szCs w:val="24"/>
              </w:rPr>
            </w:pPr>
            <w:r w:rsidRPr="00417A14">
              <w:rPr>
                <w:rFonts w:ascii="Times New Roman" w:hAnsi="Times New Roman" w:cs="Times New Roman"/>
                <w:sz w:val="24"/>
                <w:szCs w:val="24"/>
              </w:rPr>
              <w:t>2012</w:t>
            </w:r>
          </w:p>
          <w:p w14:paraId="336D7244" w14:textId="77777777" w:rsidR="00936876" w:rsidRPr="00417A14" w:rsidRDefault="00936876" w:rsidP="007D5662">
            <w:pPr>
              <w:tabs>
                <w:tab w:val="left" w:pos="2970"/>
              </w:tabs>
              <w:spacing w:line="360" w:lineRule="auto"/>
              <w:rPr>
                <w:rFonts w:ascii="Times New Roman" w:hAnsi="Times New Roman" w:cs="Times New Roman"/>
                <w:sz w:val="24"/>
                <w:szCs w:val="24"/>
              </w:rPr>
            </w:pPr>
            <w:r w:rsidRPr="00417A14">
              <w:rPr>
                <w:rFonts w:ascii="Times New Roman" w:hAnsi="Times New Roman" w:cs="Times New Roman"/>
                <w:sz w:val="24"/>
                <w:szCs w:val="24"/>
              </w:rPr>
              <w:t>(tons/ha)</w:t>
            </w:r>
          </w:p>
        </w:tc>
        <w:tc>
          <w:tcPr>
            <w:tcW w:w="1541" w:type="dxa"/>
            <w:gridSpan w:val="2"/>
            <w:tcBorders>
              <w:top w:val="single" w:sz="4" w:space="0" w:color="auto"/>
              <w:bottom w:val="single" w:sz="4" w:space="0" w:color="auto"/>
            </w:tcBorders>
          </w:tcPr>
          <w:p w14:paraId="08C557C6"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Increase over control (%)</w:t>
            </w:r>
          </w:p>
        </w:tc>
        <w:tc>
          <w:tcPr>
            <w:tcW w:w="1070" w:type="dxa"/>
            <w:tcBorders>
              <w:top w:val="single" w:sz="4" w:space="0" w:color="auto"/>
              <w:bottom w:val="single" w:sz="4" w:space="0" w:color="auto"/>
            </w:tcBorders>
          </w:tcPr>
          <w:p w14:paraId="15C4FBD5"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2013</w:t>
            </w:r>
          </w:p>
          <w:p w14:paraId="40FDD6FF"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(tons/ha)</w:t>
            </w:r>
          </w:p>
        </w:tc>
        <w:tc>
          <w:tcPr>
            <w:tcW w:w="1691" w:type="dxa"/>
            <w:gridSpan w:val="3"/>
            <w:tcBorders>
              <w:top w:val="single" w:sz="4" w:space="0" w:color="auto"/>
              <w:bottom w:val="single" w:sz="4" w:space="0" w:color="auto"/>
            </w:tcBorders>
          </w:tcPr>
          <w:p w14:paraId="652DCC73" w14:textId="77777777" w:rsidR="00936876" w:rsidRPr="00417A14" w:rsidRDefault="00936876" w:rsidP="007D5662">
            <w:pPr>
              <w:tabs>
                <w:tab w:val="left" w:pos="2970"/>
              </w:tabs>
              <w:spacing w:line="360" w:lineRule="auto"/>
              <w:rPr>
                <w:rFonts w:ascii="Times New Roman" w:hAnsi="Times New Roman" w:cs="Times New Roman"/>
                <w:sz w:val="24"/>
                <w:szCs w:val="24"/>
              </w:rPr>
            </w:pPr>
            <w:r w:rsidRPr="00417A14">
              <w:rPr>
                <w:rFonts w:ascii="Times New Roman" w:hAnsi="Times New Roman" w:cs="Times New Roman"/>
                <w:sz w:val="24"/>
                <w:szCs w:val="24"/>
              </w:rPr>
              <w:t>Increase over control (%)</w:t>
            </w:r>
          </w:p>
        </w:tc>
      </w:tr>
      <w:tr w:rsidR="00417A14" w:rsidRPr="00417A14" w14:paraId="25C5665D" w14:textId="77777777" w:rsidTr="007D5662">
        <w:trPr>
          <w:gridAfter w:val="1"/>
          <w:wAfter w:w="249" w:type="dxa"/>
          <w:jc w:val="center"/>
        </w:trPr>
        <w:tc>
          <w:tcPr>
            <w:tcW w:w="1849" w:type="dxa"/>
            <w:tcBorders>
              <w:top w:val="single" w:sz="4" w:space="0" w:color="auto"/>
            </w:tcBorders>
          </w:tcPr>
          <w:p w14:paraId="65D4919D"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0 - 0 - 0</w:t>
            </w:r>
          </w:p>
        </w:tc>
        <w:tc>
          <w:tcPr>
            <w:tcW w:w="1610" w:type="dxa"/>
            <w:gridSpan w:val="2"/>
            <w:tcBorders>
              <w:top w:val="single" w:sz="4" w:space="0" w:color="auto"/>
            </w:tcBorders>
          </w:tcPr>
          <w:p w14:paraId="26E31E83"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0.81a</w:t>
            </w:r>
          </w:p>
        </w:tc>
        <w:tc>
          <w:tcPr>
            <w:tcW w:w="1541" w:type="dxa"/>
            <w:gridSpan w:val="2"/>
            <w:tcBorders>
              <w:top w:val="single" w:sz="4" w:space="0" w:color="auto"/>
            </w:tcBorders>
          </w:tcPr>
          <w:p w14:paraId="72163F55"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w:t>
            </w:r>
          </w:p>
        </w:tc>
        <w:tc>
          <w:tcPr>
            <w:tcW w:w="1399" w:type="dxa"/>
            <w:gridSpan w:val="3"/>
            <w:tcBorders>
              <w:top w:val="single" w:sz="4" w:space="0" w:color="auto"/>
            </w:tcBorders>
          </w:tcPr>
          <w:p w14:paraId="5A88A57A"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0.78a</w:t>
            </w:r>
          </w:p>
        </w:tc>
        <w:tc>
          <w:tcPr>
            <w:tcW w:w="1362" w:type="dxa"/>
            <w:tcBorders>
              <w:top w:val="single" w:sz="4" w:space="0" w:color="auto"/>
            </w:tcBorders>
          </w:tcPr>
          <w:p w14:paraId="47410E10"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w:t>
            </w:r>
          </w:p>
        </w:tc>
      </w:tr>
      <w:tr w:rsidR="00417A14" w:rsidRPr="00417A14" w14:paraId="7C8677FF" w14:textId="77777777" w:rsidTr="007D5662">
        <w:trPr>
          <w:gridAfter w:val="1"/>
          <w:wAfter w:w="249" w:type="dxa"/>
          <w:jc w:val="center"/>
        </w:trPr>
        <w:tc>
          <w:tcPr>
            <w:tcW w:w="1849" w:type="dxa"/>
          </w:tcPr>
          <w:p w14:paraId="20F4BC81"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10 – 15 – 10</w:t>
            </w:r>
          </w:p>
        </w:tc>
        <w:tc>
          <w:tcPr>
            <w:tcW w:w="1610" w:type="dxa"/>
            <w:gridSpan w:val="2"/>
          </w:tcPr>
          <w:p w14:paraId="67F0559C"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1.05b</w:t>
            </w:r>
          </w:p>
        </w:tc>
        <w:tc>
          <w:tcPr>
            <w:tcW w:w="1541" w:type="dxa"/>
            <w:gridSpan w:val="2"/>
          </w:tcPr>
          <w:p w14:paraId="0A113D15"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29.63</w:t>
            </w:r>
          </w:p>
        </w:tc>
        <w:tc>
          <w:tcPr>
            <w:tcW w:w="1399" w:type="dxa"/>
            <w:gridSpan w:val="3"/>
          </w:tcPr>
          <w:p w14:paraId="52610853"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1.27b</w:t>
            </w:r>
          </w:p>
        </w:tc>
        <w:tc>
          <w:tcPr>
            <w:tcW w:w="1362" w:type="dxa"/>
          </w:tcPr>
          <w:p w14:paraId="6F892CBE"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6</w:t>
            </w:r>
            <w:r w:rsidRPr="00417A14">
              <w:rPr>
                <w:rFonts w:ascii="Times New Roman" w:hAnsi="Times New Roman"/>
                <w:sz w:val="24"/>
                <w:szCs w:val="24"/>
              </w:rPr>
              <w:t>2</w:t>
            </w:r>
            <w:r w:rsidRPr="00417A14">
              <w:rPr>
                <w:rFonts w:ascii="Times New Roman" w:hAnsi="Times New Roman" w:cs="Times New Roman"/>
                <w:sz w:val="24"/>
                <w:szCs w:val="24"/>
              </w:rPr>
              <w:t>.</w:t>
            </w:r>
            <w:r w:rsidRPr="00417A14">
              <w:rPr>
                <w:rFonts w:ascii="Times New Roman" w:hAnsi="Times New Roman"/>
                <w:sz w:val="24"/>
                <w:szCs w:val="24"/>
              </w:rPr>
              <w:t>82</w:t>
            </w:r>
          </w:p>
        </w:tc>
      </w:tr>
      <w:tr w:rsidR="00417A14" w:rsidRPr="00417A14" w14:paraId="03F637FF" w14:textId="77777777" w:rsidTr="007D5662">
        <w:trPr>
          <w:gridAfter w:val="1"/>
          <w:wAfter w:w="249" w:type="dxa"/>
          <w:jc w:val="center"/>
        </w:trPr>
        <w:tc>
          <w:tcPr>
            <w:tcW w:w="1849" w:type="dxa"/>
          </w:tcPr>
          <w:p w14:paraId="4DB65EF5"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 – 15 – 20</w:t>
            </w:r>
          </w:p>
        </w:tc>
        <w:tc>
          <w:tcPr>
            <w:tcW w:w="1610" w:type="dxa"/>
            <w:gridSpan w:val="2"/>
          </w:tcPr>
          <w:p w14:paraId="6865B771"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1.35bc</w:t>
            </w:r>
          </w:p>
        </w:tc>
        <w:tc>
          <w:tcPr>
            <w:tcW w:w="1541" w:type="dxa"/>
            <w:gridSpan w:val="2"/>
          </w:tcPr>
          <w:p w14:paraId="213B4D1C"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66.67</w:t>
            </w:r>
          </w:p>
        </w:tc>
        <w:tc>
          <w:tcPr>
            <w:tcW w:w="1399" w:type="dxa"/>
            <w:gridSpan w:val="3"/>
          </w:tcPr>
          <w:p w14:paraId="7B09E397"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1.30b</w:t>
            </w:r>
          </w:p>
        </w:tc>
        <w:tc>
          <w:tcPr>
            <w:tcW w:w="1362" w:type="dxa"/>
          </w:tcPr>
          <w:p w14:paraId="456D0F71"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6</w:t>
            </w:r>
            <w:r w:rsidRPr="00417A14">
              <w:rPr>
                <w:rFonts w:ascii="Times New Roman" w:hAnsi="Times New Roman"/>
                <w:sz w:val="24"/>
                <w:szCs w:val="24"/>
              </w:rPr>
              <w:t>6</w:t>
            </w:r>
            <w:r w:rsidRPr="00417A14">
              <w:rPr>
                <w:rFonts w:ascii="Times New Roman" w:hAnsi="Times New Roman" w:cs="Times New Roman"/>
                <w:sz w:val="24"/>
                <w:szCs w:val="24"/>
              </w:rPr>
              <w:t>.</w:t>
            </w:r>
            <w:r w:rsidRPr="00417A14">
              <w:rPr>
                <w:rFonts w:ascii="Times New Roman" w:hAnsi="Times New Roman"/>
                <w:sz w:val="24"/>
                <w:szCs w:val="24"/>
              </w:rPr>
              <w:t>67</w:t>
            </w:r>
          </w:p>
        </w:tc>
      </w:tr>
      <w:tr w:rsidR="00417A14" w:rsidRPr="00417A14" w14:paraId="6CC5197A" w14:textId="77777777" w:rsidTr="007D5662">
        <w:trPr>
          <w:gridAfter w:val="1"/>
          <w:wAfter w:w="249" w:type="dxa"/>
          <w:jc w:val="center"/>
        </w:trPr>
        <w:tc>
          <w:tcPr>
            <w:tcW w:w="1849" w:type="dxa"/>
          </w:tcPr>
          <w:p w14:paraId="17CEF23A"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 – 30 – 10</w:t>
            </w:r>
          </w:p>
        </w:tc>
        <w:tc>
          <w:tcPr>
            <w:tcW w:w="1610" w:type="dxa"/>
            <w:gridSpan w:val="2"/>
          </w:tcPr>
          <w:p w14:paraId="792F6492"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 xml:space="preserve">1.65cd </w:t>
            </w:r>
          </w:p>
        </w:tc>
        <w:tc>
          <w:tcPr>
            <w:tcW w:w="1541" w:type="dxa"/>
            <w:gridSpan w:val="2"/>
          </w:tcPr>
          <w:p w14:paraId="2A323C83"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103.70</w:t>
            </w:r>
          </w:p>
        </w:tc>
        <w:tc>
          <w:tcPr>
            <w:tcW w:w="1399" w:type="dxa"/>
            <w:gridSpan w:val="3"/>
          </w:tcPr>
          <w:p w14:paraId="644830A6"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1.43bc</w:t>
            </w:r>
          </w:p>
        </w:tc>
        <w:tc>
          <w:tcPr>
            <w:tcW w:w="1362" w:type="dxa"/>
          </w:tcPr>
          <w:p w14:paraId="407F3FF3"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sz w:val="24"/>
                <w:szCs w:val="24"/>
              </w:rPr>
              <w:t>83.33</w:t>
            </w:r>
          </w:p>
        </w:tc>
      </w:tr>
      <w:tr w:rsidR="00417A14" w:rsidRPr="00417A14" w14:paraId="34B19E11" w14:textId="77777777" w:rsidTr="007D5662">
        <w:trPr>
          <w:gridAfter w:val="1"/>
          <w:wAfter w:w="249" w:type="dxa"/>
          <w:jc w:val="center"/>
        </w:trPr>
        <w:tc>
          <w:tcPr>
            <w:tcW w:w="1849" w:type="dxa"/>
          </w:tcPr>
          <w:p w14:paraId="606F531B"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 – 30 – 20</w:t>
            </w:r>
          </w:p>
        </w:tc>
        <w:tc>
          <w:tcPr>
            <w:tcW w:w="1610" w:type="dxa"/>
            <w:gridSpan w:val="2"/>
          </w:tcPr>
          <w:p w14:paraId="29D42154"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1.72</w:t>
            </w:r>
            <w:r w:rsidRPr="00417A14">
              <w:rPr>
                <w:rFonts w:ascii="Times New Roman" w:hAnsi="Times New Roman"/>
                <w:sz w:val="24"/>
                <w:szCs w:val="24"/>
              </w:rPr>
              <w:t>c</w:t>
            </w:r>
            <w:r w:rsidRPr="00417A14">
              <w:rPr>
                <w:rFonts w:ascii="Times New Roman" w:hAnsi="Times New Roman" w:cs="Times New Roman"/>
                <w:sz w:val="24"/>
                <w:szCs w:val="24"/>
              </w:rPr>
              <w:t>d</w:t>
            </w:r>
          </w:p>
        </w:tc>
        <w:tc>
          <w:tcPr>
            <w:tcW w:w="1541" w:type="dxa"/>
            <w:gridSpan w:val="2"/>
          </w:tcPr>
          <w:p w14:paraId="4A0F6A48"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112.35</w:t>
            </w:r>
          </w:p>
        </w:tc>
        <w:tc>
          <w:tcPr>
            <w:tcW w:w="1399" w:type="dxa"/>
            <w:gridSpan w:val="3"/>
          </w:tcPr>
          <w:p w14:paraId="4C6D3308"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1.79d</w:t>
            </w:r>
          </w:p>
        </w:tc>
        <w:tc>
          <w:tcPr>
            <w:tcW w:w="1362" w:type="dxa"/>
          </w:tcPr>
          <w:p w14:paraId="144BA2CF"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w:t>
            </w:r>
            <w:r w:rsidRPr="00417A14">
              <w:rPr>
                <w:rFonts w:ascii="Times New Roman" w:hAnsi="Times New Roman"/>
                <w:sz w:val="24"/>
                <w:szCs w:val="24"/>
              </w:rPr>
              <w:t>29.49</w:t>
            </w:r>
          </w:p>
        </w:tc>
      </w:tr>
      <w:tr w:rsidR="00417A14" w:rsidRPr="00417A14" w14:paraId="3C8A02C5" w14:textId="77777777" w:rsidTr="007D5662">
        <w:trPr>
          <w:gridAfter w:val="1"/>
          <w:wAfter w:w="249" w:type="dxa"/>
          <w:jc w:val="center"/>
        </w:trPr>
        <w:tc>
          <w:tcPr>
            <w:tcW w:w="1849" w:type="dxa"/>
          </w:tcPr>
          <w:p w14:paraId="1D09B4DD"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 – 45 – 20</w:t>
            </w:r>
          </w:p>
        </w:tc>
        <w:tc>
          <w:tcPr>
            <w:tcW w:w="1610" w:type="dxa"/>
            <w:gridSpan w:val="2"/>
          </w:tcPr>
          <w:p w14:paraId="186C4F17"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1.70cd</w:t>
            </w:r>
          </w:p>
        </w:tc>
        <w:tc>
          <w:tcPr>
            <w:tcW w:w="1541" w:type="dxa"/>
            <w:gridSpan w:val="2"/>
          </w:tcPr>
          <w:p w14:paraId="0E22DFCE"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80.25</w:t>
            </w:r>
          </w:p>
        </w:tc>
        <w:tc>
          <w:tcPr>
            <w:tcW w:w="1399" w:type="dxa"/>
            <w:gridSpan w:val="3"/>
          </w:tcPr>
          <w:p w14:paraId="6AF08905"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1.76d</w:t>
            </w:r>
          </w:p>
        </w:tc>
        <w:tc>
          <w:tcPr>
            <w:tcW w:w="1362" w:type="dxa"/>
          </w:tcPr>
          <w:p w14:paraId="28C584F2"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sz w:val="24"/>
                <w:szCs w:val="24"/>
              </w:rPr>
              <w:t>12</w:t>
            </w:r>
            <w:r w:rsidRPr="00417A14">
              <w:rPr>
                <w:rFonts w:ascii="Times New Roman" w:hAnsi="Times New Roman" w:cs="Times New Roman"/>
                <w:sz w:val="24"/>
                <w:szCs w:val="24"/>
              </w:rPr>
              <w:t>5.</w:t>
            </w:r>
            <w:r w:rsidRPr="00417A14">
              <w:rPr>
                <w:rFonts w:ascii="Times New Roman" w:hAnsi="Times New Roman"/>
                <w:sz w:val="24"/>
                <w:szCs w:val="24"/>
              </w:rPr>
              <w:t>64</w:t>
            </w:r>
          </w:p>
        </w:tc>
      </w:tr>
      <w:tr w:rsidR="00417A14" w:rsidRPr="00417A14" w14:paraId="20CD5513" w14:textId="77777777" w:rsidTr="007D5662">
        <w:trPr>
          <w:gridAfter w:val="1"/>
          <w:wAfter w:w="249" w:type="dxa"/>
          <w:jc w:val="center"/>
        </w:trPr>
        <w:tc>
          <w:tcPr>
            <w:tcW w:w="1849" w:type="dxa"/>
          </w:tcPr>
          <w:p w14:paraId="159904A7"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30 – 45 - 30</w:t>
            </w:r>
          </w:p>
        </w:tc>
        <w:tc>
          <w:tcPr>
            <w:tcW w:w="1610" w:type="dxa"/>
            <w:gridSpan w:val="2"/>
          </w:tcPr>
          <w:p w14:paraId="2A544047"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1.54cd</w:t>
            </w:r>
          </w:p>
        </w:tc>
        <w:tc>
          <w:tcPr>
            <w:tcW w:w="1541" w:type="dxa"/>
            <w:gridSpan w:val="2"/>
          </w:tcPr>
          <w:p w14:paraId="7D32B3D0"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90.12</w:t>
            </w:r>
          </w:p>
        </w:tc>
        <w:tc>
          <w:tcPr>
            <w:tcW w:w="1399" w:type="dxa"/>
            <w:gridSpan w:val="3"/>
          </w:tcPr>
          <w:p w14:paraId="1D293278"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1.58cd</w:t>
            </w:r>
          </w:p>
        </w:tc>
        <w:tc>
          <w:tcPr>
            <w:tcW w:w="1362" w:type="dxa"/>
          </w:tcPr>
          <w:p w14:paraId="5081DB77"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sz w:val="24"/>
                <w:szCs w:val="24"/>
              </w:rPr>
              <w:t>102.56</w:t>
            </w:r>
          </w:p>
        </w:tc>
      </w:tr>
      <w:tr w:rsidR="00417A14" w:rsidRPr="00417A14" w14:paraId="73ACA084" w14:textId="77777777" w:rsidTr="007D5662">
        <w:trPr>
          <w:gridAfter w:val="1"/>
          <w:wAfter w:w="249" w:type="dxa"/>
          <w:jc w:val="center"/>
        </w:trPr>
        <w:tc>
          <w:tcPr>
            <w:tcW w:w="1849" w:type="dxa"/>
          </w:tcPr>
          <w:p w14:paraId="00458283"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F.pr</w:t>
            </w:r>
          </w:p>
        </w:tc>
        <w:tc>
          <w:tcPr>
            <w:tcW w:w="1610" w:type="dxa"/>
            <w:gridSpan w:val="2"/>
          </w:tcPr>
          <w:p w14:paraId="05AC8F72"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&lt;0.001**</w:t>
            </w:r>
          </w:p>
        </w:tc>
        <w:tc>
          <w:tcPr>
            <w:tcW w:w="1541" w:type="dxa"/>
            <w:gridSpan w:val="2"/>
          </w:tcPr>
          <w:p w14:paraId="4807B034"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p>
        </w:tc>
        <w:tc>
          <w:tcPr>
            <w:tcW w:w="1399" w:type="dxa"/>
            <w:gridSpan w:val="3"/>
          </w:tcPr>
          <w:p w14:paraId="69FF8E0B"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0.001**</w:t>
            </w:r>
          </w:p>
        </w:tc>
        <w:tc>
          <w:tcPr>
            <w:tcW w:w="1362" w:type="dxa"/>
          </w:tcPr>
          <w:p w14:paraId="0BF93D2D"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p>
        </w:tc>
      </w:tr>
    </w:tbl>
    <w:p w14:paraId="4096D87F" w14:textId="6DA5EF3D" w:rsidR="00936876" w:rsidRPr="00417A14" w:rsidRDefault="00936876" w:rsidP="00936876">
      <w:pPr>
        <w:autoSpaceDE w:val="0"/>
        <w:autoSpaceDN w:val="0"/>
        <w:adjustRightInd w:val="0"/>
        <w:spacing w:line="240" w:lineRule="auto"/>
        <w:rPr>
          <w:rFonts w:ascii="Times New Roman" w:hAnsi="Times New Roman"/>
          <w:sz w:val="24"/>
          <w:szCs w:val="24"/>
          <w:lang w:val="en-AU"/>
        </w:rPr>
      </w:pPr>
      <w:bookmarkStart w:id="8" w:name="_Hlk44467897"/>
      <w:bookmarkEnd w:id="7"/>
      <w:r w:rsidRPr="00417A14">
        <w:rPr>
          <w:rFonts w:ascii="Times New Roman" w:hAnsi="Times New Roman"/>
          <w:sz w:val="24"/>
          <w:szCs w:val="24"/>
          <w:lang w:val="en-AU"/>
        </w:rPr>
        <w:t xml:space="preserve">Data represent the mean of each of the treatments. Data designated with the same letter(s) are not significantly (P &lt; 0.05) different according to </w:t>
      </w:r>
      <w:r w:rsidR="00587A53" w:rsidRPr="00417A14">
        <w:rPr>
          <w:rFonts w:ascii="Times New Roman" w:hAnsi="Times New Roman"/>
          <w:sz w:val="24"/>
          <w:szCs w:val="24"/>
          <w:lang w:val="en-AU"/>
        </w:rPr>
        <w:t xml:space="preserve">Fisher's </w:t>
      </w:r>
      <w:r w:rsidRPr="00417A14">
        <w:rPr>
          <w:rFonts w:ascii="Times New Roman" w:hAnsi="Times New Roman"/>
          <w:sz w:val="24"/>
          <w:szCs w:val="24"/>
          <w:lang w:val="en-AU"/>
        </w:rPr>
        <w:t xml:space="preserve">least significant difference method. </w:t>
      </w:r>
      <w:bookmarkStart w:id="9" w:name="_Hlk44468028"/>
      <w:r w:rsidRPr="00417A14">
        <w:rPr>
          <w:rFonts w:ascii="Times New Roman" w:hAnsi="Times New Roman"/>
          <w:sz w:val="24"/>
          <w:szCs w:val="24"/>
          <w:lang w:val="en-AU"/>
        </w:rPr>
        <w:t>F.pr – F probability, **highly significant at 5%.</w:t>
      </w:r>
    </w:p>
    <w:p w14:paraId="75FC5361" w14:textId="77777777" w:rsidR="00936876" w:rsidRPr="00417A14" w:rsidRDefault="00936876" w:rsidP="00936876">
      <w:pPr>
        <w:autoSpaceDE w:val="0"/>
        <w:autoSpaceDN w:val="0"/>
        <w:adjustRightInd w:val="0"/>
        <w:spacing w:line="240" w:lineRule="auto"/>
        <w:rPr>
          <w:rFonts w:ascii="Times New Roman" w:hAnsi="Times New Roman"/>
          <w:sz w:val="24"/>
          <w:szCs w:val="24"/>
          <w:lang w:val="en-AU"/>
        </w:rPr>
      </w:pPr>
    </w:p>
    <w:bookmarkEnd w:id="8"/>
    <w:bookmarkEnd w:id="9"/>
    <w:p w14:paraId="6C17A8DF" w14:textId="77777777" w:rsidR="00936876" w:rsidRPr="00417A14" w:rsidRDefault="00936876" w:rsidP="00936876">
      <w:pPr>
        <w:tabs>
          <w:tab w:val="right" w:pos="1404"/>
          <w:tab w:val="right" w:pos="2808"/>
          <w:tab w:val="left" w:pos="2925"/>
        </w:tabs>
        <w:autoSpaceDE w:val="0"/>
        <w:autoSpaceDN w:val="0"/>
        <w:adjustRightInd w:val="0"/>
        <w:spacing w:before="240" w:after="0" w:line="360" w:lineRule="auto"/>
        <w:rPr>
          <w:rFonts w:ascii="Times New Roman" w:hAnsi="Times New Roman"/>
          <w:sz w:val="24"/>
          <w:szCs w:val="24"/>
        </w:rPr>
      </w:pPr>
      <w:r w:rsidRPr="00417A14" w:rsidDel="006B5BAC">
        <w:rPr>
          <w:rFonts w:ascii="Times New Roman" w:hAnsi="Times New Roman"/>
          <w:b/>
          <w:sz w:val="24"/>
          <w:szCs w:val="24"/>
        </w:rPr>
        <w:t>Table 3</w:t>
      </w:r>
      <w:r w:rsidRPr="00417A14" w:rsidDel="006B5BAC">
        <w:rPr>
          <w:rFonts w:ascii="Times New Roman" w:hAnsi="Times New Roman"/>
          <w:sz w:val="24"/>
          <w:szCs w:val="24"/>
        </w:rPr>
        <w:t xml:space="preserve">. </w:t>
      </w:r>
      <w:r w:rsidRPr="00417A14">
        <w:rPr>
          <w:rFonts w:ascii="Times New Roman" w:hAnsi="Times New Roman"/>
          <w:sz w:val="24"/>
          <w:szCs w:val="24"/>
        </w:rPr>
        <w:t>E</w:t>
      </w:r>
      <w:r w:rsidRPr="00417A14" w:rsidDel="008A54AA">
        <w:rPr>
          <w:rFonts w:ascii="Times New Roman" w:hAnsi="Times New Roman"/>
          <w:b/>
          <w:sz w:val="24"/>
          <w:szCs w:val="24"/>
        </w:rPr>
        <w:t xml:space="preserve">ffects of </w:t>
      </w:r>
      <w:r w:rsidRPr="00417A14">
        <w:rPr>
          <w:rFonts w:ascii="Times New Roman" w:hAnsi="Times New Roman"/>
          <w:b/>
          <w:sz w:val="24"/>
          <w:szCs w:val="24"/>
        </w:rPr>
        <w:t>cropping season</w:t>
      </w:r>
      <w:r w:rsidRPr="00417A14" w:rsidDel="008A54AA">
        <w:rPr>
          <w:rFonts w:ascii="Times New Roman" w:hAnsi="Times New Roman"/>
          <w:b/>
          <w:sz w:val="24"/>
          <w:szCs w:val="24"/>
        </w:rPr>
        <w:t xml:space="preserve"> (2012 and 2013) on the response of cowpea </w:t>
      </w:r>
      <w:r w:rsidRPr="00417A14">
        <w:rPr>
          <w:rFonts w:ascii="Times New Roman" w:hAnsi="Times New Roman"/>
          <w:b/>
          <w:sz w:val="24"/>
          <w:szCs w:val="24"/>
        </w:rPr>
        <w:t xml:space="preserve">grain </w:t>
      </w:r>
      <w:r w:rsidRPr="00417A14" w:rsidDel="008A54AA">
        <w:rPr>
          <w:rFonts w:ascii="Times New Roman" w:hAnsi="Times New Roman"/>
          <w:b/>
          <w:sz w:val="24"/>
          <w:szCs w:val="24"/>
        </w:rPr>
        <w:t>yield to fertilizer rates at Nyoli</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227"/>
        <w:gridCol w:w="3544"/>
      </w:tblGrid>
      <w:tr w:rsidR="00417A14" w:rsidRPr="00417A14" w14:paraId="3D1304FB" w14:textId="77777777" w:rsidTr="007D5662">
        <w:tc>
          <w:tcPr>
            <w:tcW w:w="3227" w:type="dxa"/>
            <w:tcBorders>
              <w:bottom w:val="single" w:sz="4" w:space="0" w:color="auto"/>
              <w:right w:val="nil"/>
            </w:tcBorders>
          </w:tcPr>
          <w:p w14:paraId="62B65DEF" w14:textId="77777777" w:rsidR="00936876" w:rsidRPr="00417A14" w:rsidRDefault="00936876" w:rsidP="007D5662">
            <w:pPr>
              <w:spacing w:before="240" w:line="360" w:lineRule="auto"/>
              <w:jc w:val="center"/>
              <w:rPr>
                <w:rFonts w:ascii="Times New Roman" w:hAnsi="Times New Roman" w:cs="Times New Roman"/>
                <w:sz w:val="24"/>
                <w:szCs w:val="24"/>
              </w:rPr>
            </w:pPr>
            <w:r w:rsidRPr="00417A14">
              <w:rPr>
                <w:rFonts w:ascii="Times New Roman" w:hAnsi="Times New Roman" w:cs="Times New Roman"/>
                <w:sz w:val="24"/>
                <w:szCs w:val="24"/>
              </w:rPr>
              <w:lastRenderedPageBreak/>
              <w:t>Season</w:t>
            </w:r>
          </w:p>
        </w:tc>
        <w:tc>
          <w:tcPr>
            <w:tcW w:w="3544" w:type="dxa"/>
            <w:tcBorders>
              <w:left w:val="nil"/>
              <w:bottom w:val="single" w:sz="4" w:space="0" w:color="auto"/>
            </w:tcBorders>
          </w:tcPr>
          <w:p w14:paraId="093E7B76" w14:textId="77777777" w:rsidR="00936876" w:rsidRPr="00417A14" w:rsidRDefault="00936876" w:rsidP="007D5662">
            <w:pPr>
              <w:spacing w:before="240" w:line="360" w:lineRule="auto"/>
              <w:jc w:val="center"/>
              <w:rPr>
                <w:rFonts w:ascii="Times New Roman" w:hAnsi="Times New Roman" w:cs="Times New Roman"/>
                <w:sz w:val="24"/>
                <w:szCs w:val="24"/>
              </w:rPr>
            </w:pPr>
            <w:r w:rsidRPr="00417A14">
              <w:rPr>
                <w:rFonts w:ascii="Times New Roman" w:hAnsi="Times New Roman" w:cs="Times New Roman"/>
                <w:sz w:val="24"/>
                <w:szCs w:val="24"/>
              </w:rPr>
              <w:t>Grain yield</w:t>
            </w:r>
          </w:p>
        </w:tc>
      </w:tr>
      <w:tr w:rsidR="00417A14" w:rsidRPr="00417A14" w14:paraId="7A350FBB" w14:textId="77777777" w:rsidTr="007D5662">
        <w:tc>
          <w:tcPr>
            <w:tcW w:w="3227" w:type="dxa"/>
            <w:tcBorders>
              <w:bottom w:val="nil"/>
              <w:right w:val="nil"/>
            </w:tcBorders>
          </w:tcPr>
          <w:p w14:paraId="1DB2E3FB" w14:textId="77777777" w:rsidR="00936876" w:rsidRPr="00417A14" w:rsidRDefault="00936876" w:rsidP="007D5662">
            <w:pPr>
              <w:spacing w:line="360" w:lineRule="auto"/>
              <w:jc w:val="center"/>
              <w:rPr>
                <w:rFonts w:ascii="Times New Roman" w:hAnsi="Times New Roman" w:cs="Times New Roman"/>
                <w:sz w:val="24"/>
                <w:szCs w:val="24"/>
              </w:rPr>
            </w:pPr>
          </w:p>
          <w:p w14:paraId="72E0E301"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2012</w:t>
            </w:r>
          </w:p>
        </w:tc>
        <w:tc>
          <w:tcPr>
            <w:tcW w:w="3544" w:type="dxa"/>
            <w:tcBorders>
              <w:left w:val="nil"/>
              <w:bottom w:val="nil"/>
            </w:tcBorders>
          </w:tcPr>
          <w:p w14:paraId="3871A0DD"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1.37a</w:t>
            </w:r>
          </w:p>
        </w:tc>
      </w:tr>
      <w:tr w:rsidR="00417A14" w:rsidRPr="00417A14" w14:paraId="25125D42" w14:textId="77777777" w:rsidTr="007D5662">
        <w:tc>
          <w:tcPr>
            <w:tcW w:w="3227" w:type="dxa"/>
            <w:tcBorders>
              <w:top w:val="nil"/>
              <w:bottom w:val="nil"/>
              <w:right w:val="nil"/>
            </w:tcBorders>
          </w:tcPr>
          <w:p w14:paraId="60A963C8"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2013</w:t>
            </w:r>
          </w:p>
        </w:tc>
        <w:tc>
          <w:tcPr>
            <w:tcW w:w="3544" w:type="dxa"/>
            <w:tcBorders>
              <w:top w:val="nil"/>
              <w:left w:val="nil"/>
              <w:bottom w:val="nil"/>
            </w:tcBorders>
          </w:tcPr>
          <w:p w14:paraId="5D65CA65"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1.33a</w:t>
            </w:r>
          </w:p>
        </w:tc>
      </w:tr>
      <w:tr w:rsidR="00417A14" w:rsidRPr="00417A14" w14:paraId="7B6A00CE" w14:textId="77777777" w:rsidTr="007D5662">
        <w:tc>
          <w:tcPr>
            <w:tcW w:w="3227" w:type="dxa"/>
            <w:tcBorders>
              <w:top w:val="nil"/>
              <w:bottom w:val="single" w:sz="4" w:space="0" w:color="auto"/>
              <w:right w:val="nil"/>
            </w:tcBorders>
          </w:tcPr>
          <w:p w14:paraId="4C907B47" w14:textId="77777777" w:rsidR="00936876" w:rsidRPr="00417A14" w:rsidRDefault="00936876" w:rsidP="007D5662">
            <w:pPr>
              <w:spacing w:line="360" w:lineRule="auto"/>
              <w:jc w:val="center"/>
              <w:rPr>
                <w:rFonts w:ascii="Times New Roman" w:hAnsi="Times New Roman" w:cs="Times New Roman"/>
                <w:sz w:val="24"/>
                <w:szCs w:val="24"/>
              </w:rPr>
            </w:pPr>
            <w:proofErr w:type="spellStart"/>
            <w:r w:rsidRPr="00417A14">
              <w:rPr>
                <w:rFonts w:ascii="Times New Roman" w:hAnsi="Times New Roman" w:cs="Times New Roman"/>
                <w:sz w:val="24"/>
                <w:szCs w:val="24"/>
              </w:rPr>
              <w:t>Fpr</w:t>
            </w:r>
            <w:proofErr w:type="spellEnd"/>
          </w:p>
        </w:tc>
        <w:tc>
          <w:tcPr>
            <w:tcW w:w="3544" w:type="dxa"/>
            <w:tcBorders>
              <w:top w:val="nil"/>
              <w:left w:val="nil"/>
              <w:bottom w:val="single" w:sz="4" w:space="0" w:color="auto"/>
            </w:tcBorders>
          </w:tcPr>
          <w:p w14:paraId="5DD62583"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0.51ns</w:t>
            </w:r>
          </w:p>
        </w:tc>
      </w:tr>
    </w:tbl>
    <w:p w14:paraId="2CADE675" w14:textId="6207BE43" w:rsidR="00936876" w:rsidRPr="00417A14" w:rsidRDefault="00936876" w:rsidP="00936876">
      <w:pPr>
        <w:autoSpaceDE w:val="0"/>
        <w:autoSpaceDN w:val="0"/>
        <w:adjustRightInd w:val="0"/>
        <w:spacing w:line="240" w:lineRule="auto"/>
        <w:jc w:val="both"/>
        <w:rPr>
          <w:rFonts w:ascii="Times New Roman" w:hAnsi="Times New Roman"/>
          <w:sz w:val="24"/>
          <w:szCs w:val="24"/>
          <w:lang w:val="en-AU"/>
        </w:rPr>
      </w:pPr>
      <w:bookmarkStart w:id="10" w:name="_Hlk44467990"/>
      <w:bookmarkEnd w:id="5"/>
      <w:r w:rsidRPr="00417A14">
        <w:rPr>
          <w:rFonts w:ascii="Times New Roman" w:hAnsi="Times New Roman"/>
          <w:sz w:val="24"/>
          <w:szCs w:val="24"/>
          <w:lang w:val="en-AU"/>
        </w:rPr>
        <w:t xml:space="preserve">Data represent the grand mean of all the treatments. Data designated with the same letter(s) are not significantly (P &lt; 0.05) different according to </w:t>
      </w:r>
      <w:r w:rsidR="00587A53" w:rsidRPr="00417A14">
        <w:rPr>
          <w:rFonts w:ascii="Times New Roman" w:hAnsi="Times New Roman"/>
          <w:sz w:val="24"/>
          <w:szCs w:val="24"/>
          <w:lang w:val="en-AU"/>
        </w:rPr>
        <w:t xml:space="preserve">Fisher's </w:t>
      </w:r>
      <w:r w:rsidRPr="00417A14">
        <w:rPr>
          <w:rFonts w:ascii="Times New Roman" w:hAnsi="Times New Roman"/>
          <w:sz w:val="24"/>
          <w:szCs w:val="24"/>
          <w:lang w:val="en-AU"/>
        </w:rPr>
        <w:t>least significant difference method. F.pr – F probability, ns – not significant at 5%.</w:t>
      </w:r>
    </w:p>
    <w:p w14:paraId="266EE7A7" w14:textId="77777777" w:rsidR="00936876" w:rsidRPr="00417A14" w:rsidRDefault="00936876" w:rsidP="00936876">
      <w:pPr>
        <w:tabs>
          <w:tab w:val="left" w:pos="2970"/>
        </w:tabs>
        <w:spacing w:after="0" w:line="480" w:lineRule="auto"/>
        <w:jc w:val="both"/>
        <w:rPr>
          <w:rFonts w:ascii="Times New Roman" w:hAnsi="Times New Roman"/>
          <w:sz w:val="24"/>
          <w:szCs w:val="24"/>
        </w:rPr>
      </w:pPr>
      <w:r w:rsidRPr="00417A14">
        <w:rPr>
          <w:rFonts w:ascii="Times New Roman" w:hAnsi="Times New Roman"/>
          <w:sz w:val="24"/>
          <w:szCs w:val="24"/>
        </w:rPr>
        <w:t>Comparing the grain yield obtained for both two cropping seasons, there was no significant difference (F.pr = 0.51) on how cowpea responded to fertilizer application rates in 2012 and 2013 (Table 3).</w:t>
      </w:r>
    </w:p>
    <w:p w14:paraId="07B9C0A5" w14:textId="77777777" w:rsidR="00936876" w:rsidRPr="00417A14" w:rsidRDefault="00936876" w:rsidP="00936876">
      <w:pPr>
        <w:pStyle w:val="Heading2"/>
        <w:spacing w:line="480" w:lineRule="auto"/>
        <w:rPr>
          <w:rFonts w:cs="Times New Roman"/>
          <w:szCs w:val="24"/>
        </w:rPr>
      </w:pPr>
      <w:bookmarkStart w:id="11" w:name="_Hlk44552925"/>
      <w:bookmarkStart w:id="12" w:name="_Hlk44467729"/>
      <w:bookmarkEnd w:id="4"/>
      <w:bookmarkEnd w:id="6"/>
      <w:bookmarkEnd w:id="10"/>
      <w:r w:rsidRPr="00417A14">
        <w:t>Effect of fertilizer treatments on cowpea b</w:t>
      </w:r>
      <w:r w:rsidRPr="00417A14">
        <w:rPr>
          <w:rFonts w:cs="Times New Roman"/>
          <w:szCs w:val="24"/>
        </w:rPr>
        <w:t>iomass yield</w:t>
      </w:r>
    </w:p>
    <w:p w14:paraId="7C203EA6" w14:textId="7315904D" w:rsidR="00936876" w:rsidRPr="00417A14" w:rsidRDefault="00587A53" w:rsidP="00936876">
      <w:pPr>
        <w:spacing w:line="480" w:lineRule="auto"/>
        <w:jc w:val="both"/>
        <w:rPr>
          <w:rFonts w:ascii="Times New Roman" w:hAnsi="Times New Roman"/>
          <w:sz w:val="24"/>
          <w:szCs w:val="24"/>
        </w:rPr>
      </w:pPr>
      <w:r w:rsidRPr="00417A14">
        <w:rPr>
          <w:rFonts w:ascii="Times New Roman" w:hAnsi="Times New Roman"/>
          <w:sz w:val="24"/>
          <w:szCs w:val="24"/>
        </w:rPr>
        <w:t>Fertilizer treatments in both cropping seasons increased biomass yield</w:t>
      </w:r>
      <w:r w:rsidR="00936876" w:rsidRPr="00417A14">
        <w:rPr>
          <w:rFonts w:ascii="Times New Roman" w:hAnsi="Times New Roman"/>
          <w:sz w:val="24"/>
          <w:szCs w:val="24"/>
        </w:rPr>
        <w:t>. The biomass yield was higher in the second year than in the first year (Table 4). The highest biomass yield was obtained from 30-45-30 kg N-P</w:t>
      </w:r>
      <w:r w:rsidR="00936876" w:rsidRPr="00417A14">
        <w:rPr>
          <w:rFonts w:ascii="Times New Roman" w:hAnsi="Times New Roman"/>
          <w:sz w:val="24"/>
          <w:szCs w:val="24"/>
          <w:vertAlign w:val="subscript"/>
        </w:rPr>
        <w:t>2</w:t>
      </w:r>
      <w:r w:rsidR="00936876" w:rsidRPr="00417A14">
        <w:rPr>
          <w:rFonts w:ascii="Times New Roman" w:hAnsi="Times New Roman"/>
          <w:sz w:val="24"/>
          <w:szCs w:val="24"/>
        </w:rPr>
        <w:t>O</w:t>
      </w:r>
      <w:r w:rsidR="00936876" w:rsidRPr="00417A14">
        <w:rPr>
          <w:rFonts w:ascii="Times New Roman" w:hAnsi="Times New Roman"/>
          <w:sz w:val="24"/>
          <w:szCs w:val="24"/>
          <w:vertAlign w:val="subscript"/>
        </w:rPr>
        <w:t>5</w:t>
      </w:r>
      <w:r w:rsidR="00936876" w:rsidRPr="00417A14">
        <w:rPr>
          <w:rFonts w:ascii="Times New Roman" w:hAnsi="Times New Roman"/>
          <w:sz w:val="24"/>
          <w:szCs w:val="24"/>
        </w:rPr>
        <w:t>- K</w:t>
      </w:r>
      <w:r w:rsidR="00936876" w:rsidRPr="00417A14">
        <w:rPr>
          <w:rFonts w:ascii="Times New Roman" w:hAnsi="Times New Roman"/>
          <w:sz w:val="24"/>
          <w:szCs w:val="24"/>
          <w:vertAlign w:val="subscript"/>
        </w:rPr>
        <w:t>2</w:t>
      </w:r>
      <w:r w:rsidR="00936876" w:rsidRPr="00417A14">
        <w:rPr>
          <w:rFonts w:ascii="Times New Roman" w:hAnsi="Times New Roman"/>
          <w:sz w:val="24"/>
          <w:szCs w:val="24"/>
        </w:rPr>
        <w:t>O/ha while the control gave the lowest yield for the 2 years. The fertilizer application rate of 20 – 30 – 20 kg N-P</w:t>
      </w:r>
      <w:r w:rsidR="00936876" w:rsidRPr="00417A14">
        <w:rPr>
          <w:rFonts w:ascii="Times New Roman" w:hAnsi="Times New Roman"/>
          <w:sz w:val="24"/>
          <w:szCs w:val="24"/>
          <w:vertAlign w:val="subscript"/>
        </w:rPr>
        <w:t>2</w:t>
      </w:r>
      <w:r w:rsidR="00936876" w:rsidRPr="00417A14">
        <w:rPr>
          <w:rFonts w:ascii="Times New Roman" w:hAnsi="Times New Roman"/>
          <w:sz w:val="24"/>
          <w:szCs w:val="24"/>
        </w:rPr>
        <w:t>O</w:t>
      </w:r>
      <w:r w:rsidR="00936876" w:rsidRPr="00417A14">
        <w:rPr>
          <w:rFonts w:ascii="Times New Roman" w:hAnsi="Times New Roman"/>
          <w:sz w:val="24"/>
          <w:szCs w:val="24"/>
          <w:vertAlign w:val="subscript"/>
        </w:rPr>
        <w:t>5</w:t>
      </w:r>
      <w:r w:rsidR="00936876" w:rsidRPr="00417A14">
        <w:rPr>
          <w:rFonts w:ascii="Times New Roman" w:hAnsi="Times New Roman"/>
          <w:sz w:val="24"/>
          <w:szCs w:val="24"/>
        </w:rPr>
        <w:t>- K</w:t>
      </w:r>
      <w:r w:rsidR="00936876" w:rsidRPr="00417A14">
        <w:rPr>
          <w:rFonts w:ascii="Times New Roman" w:hAnsi="Times New Roman"/>
          <w:sz w:val="24"/>
          <w:szCs w:val="24"/>
          <w:vertAlign w:val="subscript"/>
        </w:rPr>
        <w:t>2</w:t>
      </w:r>
      <w:r w:rsidR="00936876" w:rsidRPr="00417A14">
        <w:rPr>
          <w:rFonts w:ascii="Times New Roman" w:hAnsi="Times New Roman"/>
          <w:sz w:val="24"/>
          <w:szCs w:val="24"/>
        </w:rPr>
        <w:t>O/ha gave a biomass yield of 2.41 tons/ha which was not significantly different from the biomass yield of 2.50 tons/ha obtained from 20 – 45 – 20 kg N-P</w:t>
      </w:r>
      <w:r w:rsidR="00936876" w:rsidRPr="00417A14">
        <w:rPr>
          <w:rFonts w:ascii="Times New Roman" w:hAnsi="Times New Roman"/>
          <w:sz w:val="24"/>
          <w:szCs w:val="24"/>
          <w:vertAlign w:val="subscript"/>
        </w:rPr>
        <w:t>2</w:t>
      </w:r>
      <w:r w:rsidR="00936876" w:rsidRPr="00417A14">
        <w:rPr>
          <w:rFonts w:ascii="Times New Roman" w:hAnsi="Times New Roman"/>
          <w:sz w:val="24"/>
          <w:szCs w:val="24"/>
        </w:rPr>
        <w:t>O</w:t>
      </w:r>
      <w:r w:rsidR="00936876" w:rsidRPr="00417A14">
        <w:rPr>
          <w:rFonts w:ascii="Times New Roman" w:hAnsi="Times New Roman"/>
          <w:sz w:val="24"/>
          <w:szCs w:val="24"/>
          <w:vertAlign w:val="subscript"/>
        </w:rPr>
        <w:t>5</w:t>
      </w:r>
      <w:r w:rsidR="00936876" w:rsidRPr="00417A14">
        <w:rPr>
          <w:rFonts w:ascii="Times New Roman" w:hAnsi="Times New Roman"/>
          <w:sz w:val="24"/>
          <w:szCs w:val="24"/>
        </w:rPr>
        <w:t>- K</w:t>
      </w:r>
      <w:r w:rsidR="00936876" w:rsidRPr="00417A14">
        <w:rPr>
          <w:rFonts w:ascii="Times New Roman" w:hAnsi="Times New Roman"/>
          <w:sz w:val="24"/>
          <w:szCs w:val="24"/>
          <w:vertAlign w:val="subscript"/>
        </w:rPr>
        <w:t>2</w:t>
      </w:r>
      <w:r w:rsidR="00936876" w:rsidRPr="00417A14">
        <w:rPr>
          <w:rFonts w:ascii="Times New Roman" w:hAnsi="Times New Roman"/>
          <w:sz w:val="24"/>
          <w:szCs w:val="24"/>
        </w:rPr>
        <w:t>O/ha in 2012 cropping season. In 2013 cropping season, same treatments gave a biomass yield of 3.89 and 4.06 tons/ha which were comparable. Low fertilizer application in treatment 10 – 15 – 10 kg N-P</w:t>
      </w:r>
      <w:r w:rsidR="00936876" w:rsidRPr="00417A14">
        <w:rPr>
          <w:rFonts w:ascii="Times New Roman" w:hAnsi="Times New Roman"/>
          <w:sz w:val="24"/>
          <w:szCs w:val="24"/>
          <w:vertAlign w:val="subscript"/>
        </w:rPr>
        <w:t>2</w:t>
      </w:r>
      <w:r w:rsidR="00936876" w:rsidRPr="00417A14">
        <w:rPr>
          <w:rFonts w:ascii="Times New Roman" w:hAnsi="Times New Roman"/>
          <w:sz w:val="24"/>
          <w:szCs w:val="24"/>
        </w:rPr>
        <w:t>O</w:t>
      </w:r>
      <w:r w:rsidR="00936876" w:rsidRPr="00417A14">
        <w:rPr>
          <w:rFonts w:ascii="Times New Roman" w:hAnsi="Times New Roman"/>
          <w:sz w:val="24"/>
          <w:szCs w:val="24"/>
          <w:vertAlign w:val="subscript"/>
        </w:rPr>
        <w:t>5</w:t>
      </w:r>
      <w:r w:rsidR="00936876" w:rsidRPr="00417A14">
        <w:rPr>
          <w:rFonts w:ascii="Times New Roman" w:hAnsi="Times New Roman"/>
          <w:sz w:val="24"/>
          <w:szCs w:val="24"/>
        </w:rPr>
        <w:t>- K</w:t>
      </w:r>
      <w:r w:rsidR="00936876" w:rsidRPr="00417A14">
        <w:rPr>
          <w:rFonts w:ascii="Times New Roman" w:hAnsi="Times New Roman"/>
          <w:sz w:val="24"/>
          <w:szCs w:val="24"/>
          <w:vertAlign w:val="subscript"/>
        </w:rPr>
        <w:t>2</w:t>
      </w:r>
      <w:r w:rsidR="00936876" w:rsidRPr="00417A14">
        <w:rPr>
          <w:rFonts w:ascii="Times New Roman" w:hAnsi="Times New Roman"/>
          <w:sz w:val="24"/>
          <w:szCs w:val="24"/>
        </w:rPr>
        <w:t xml:space="preserve">O/ha gave a biomass yield of 2 tons/ha which compared to 1.62 tons/ha obtained from the control. </w:t>
      </w:r>
    </w:p>
    <w:p w14:paraId="7C1055CB" w14:textId="77777777" w:rsidR="00936876" w:rsidRPr="00417A14" w:rsidRDefault="00936876" w:rsidP="00936876">
      <w:pPr>
        <w:tabs>
          <w:tab w:val="right" w:pos="1404"/>
          <w:tab w:val="right" w:pos="2808"/>
          <w:tab w:val="left" w:pos="2925"/>
        </w:tabs>
        <w:autoSpaceDE w:val="0"/>
        <w:autoSpaceDN w:val="0"/>
        <w:adjustRightInd w:val="0"/>
        <w:spacing w:after="0" w:line="240" w:lineRule="auto"/>
        <w:rPr>
          <w:rFonts w:ascii="Times New Roman" w:hAnsi="Times New Roman"/>
          <w:b/>
          <w:sz w:val="24"/>
          <w:szCs w:val="24"/>
          <w:lang w:val="en-AU"/>
        </w:rPr>
      </w:pPr>
      <w:bookmarkStart w:id="13" w:name="_Hlk45763387"/>
      <w:bookmarkEnd w:id="11"/>
      <w:r w:rsidRPr="00417A14" w:rsidDel="008A54AA">
        <w:rPr>
          <w:rFonts w:ascii="Times New Roman" w:hAnsi="Times New Roman"/>
          <w:b/>
          <w:sz w:val="24"/>
          <w:szCs w:val="24"/>
          <w:lang w:val="en-AU"/>
        </w:rPr>
        <w:t>Table 4. Effect of fertilizer rates on cowpea biomass yield in 2012 and 2013 cropping season.</w:t>
      </w:r>
    </w:p>
    <w:p w14:paraId="19B857BE" w14:textId="77777777" w:rsidR="00936876" w:rsidRPr="00417A14" w:rsidRDefault="00936876" w:rsidP="00936876">
      <w:pPr>
        <w:tabs>
          <w:tab w:val="right" w:pos="1404"/>
          <w:tab w:val="right" w:pos="2808"/>
          <w:tab w:val="left" w:pos="2925"/>
        </w:tabs>
        <w:autoSpaceDE w:val="0"/>
        <w:autoSpaceDN w:val="0"/>
        <w:adjustRightInd w:val="0"/>
        <w:spacing w:after="0" w:line="240" w:lineRule="auto"/>
        <w:rPr>
          <w:rFonts w:ascii="Times New Roman" w:hAnsi="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1752"/>
        <w:gridCol w:w="1746"/>
        <w:gridCol w:w="1753"/>
        <w:gridCol w:w="1746"/>
      </w:tblGrid>
      <w:tr w:rsidR="00417A14" w:rsidRPr="00417A14" w14:paraId="48AC210F" w14:textId="77777777" w:rsidTr="007D5662">
        <w:tc>
          <w:tcPr>
            <w:tcW w:w="1848" w:type="dxa"/>
            <w:tcBorders>
              <w:top w:val="single" w:sz="4" w:space="0" w:color="auto"/>
              <w:bottom w:val="single" w:sz="4" w:space="0" w:color="auto"/>
            </w:tcBorders>
          </w:tcPr>
          <w:p w14:paraId="500AC567"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Treatment</w:t>
            </w:r>
          </w:p>
        </w:tc>
        <w:tc>
          <w:tcPr>
            <w:tcW w:w="1848" w:type="dxa"/>
            <w:tcBorders>
              <w:top w:val="single" w:sz="4" w:space="0" w:color="auto"/>
              <w:bottom w:val="single" w:sz="4" w:space="0" w:color="auto"/>
            </w:tcBorders>
          </w:tcPr>
          <w:p w14:paraId="4843CECB"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2012</w:t>
            </w:r>
          </w:p>
          <w:p w14:paraId="6C611B6F"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(tons/ha)</w:t>
            </w:r>
          </w:p>
        </w:tc>
        <w:tc>
          <w:tcPr>
            <w:tcW w:w="1848" w:type="dxa"/>
            <w:tcBorders>
              <w:top w:val="single" w:sz="4" w:space="0" w:color="auto"/>
              <w:bottom w:val="single" w:sz="4" w:space="0" w:color="auto"/>
            </w:tcBorders>
          </w:tcPr>
          <w:p w14:paraId="64665B6C"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sz w:val="24"/>
                <w:szCs w:val="24"/>
              </w:rPr>
              <w:t>Increase</w:t>
            </w:r>
            <w:r w:rsidRPr="00417A14">
              <w:rPr>
                <w:rFonts w:ascii="Times New Roman" w:hAnsi="Times New Roman" w:cs="Times New Roman"/>
                <w:sz w:val="24"/>
                <w:szCs w:val="24"/>
              </w:rPr>
              <w:t xml:space="preserve"> over control (%)</w:t>
            </w:r>
          </w:p>
        </w:tc>
        <w:tc>
          <w:tcPr>
            <w:tcW w:w="1849" w:type="dxa"/>
            <w:tcBorders>
              <w:top w:val="single" w:sz="4" w:space="0" w:color="auto"/>
              <w:bottom w:val="single" w:sz="4" w:space="0" w:color="auto"/>
            </w:tcBorders>
          </w:tcPr>
          <w:p w14:paraId="45CE1FDE"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2013</w:t>
            </w:r>
          </w:p>
          <w:p w14:paraId="0FA95521"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(tons/ha)</w:t>
            </w:r>
          </w:p>
        </w:tc>
        <w:tc>
          <w:tcPr>
            <w:tcW w:w="1849" w:type="dxa"/>
            <w:tcBorders>
              <w:top w:val="single" w:sz="4" w:space="0" w:color="auto"/>
              <w:bottom w:val="single" w:sz="4" w:space="0" w:color="auto"/>
            </w:tcBorders>
          </w:tcPr>
          <w:p w14:paraId="6E337F6B"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sz w:val="24"/>
                <w:szCs w:val="24"/>
              </w:rPr>
              <w:t>Increase</w:t>
            </w:r>
            <w:r w:rsidRPr="00417A14">
              <w:rPr>
                <w:rFonts w:ascii="Times New Roman" w:hAnsi="Times New Roman" w:cs="Times New Roman"/>
                <w:sz w:val="24"/>
                <w:szCs w:val="24"/>
              </w:rPr>
              <w:t xml:space="preserve"> over control (%)</w:t>
            </w:r>
          </w:p>
        </w:tc>
      </w:tr>
      <w:tr w:rsidR="00417A14" w:rsidRPr="00417A14" w14:paraId="73ADD949" w14:textId="77777777" w:rsidTr="007D5662">
        <w:tc>
          <w:tcPr>
            <w:tcW w:w="1848" w:type="dxa"/>
            <w:tcBorders>
              <w:top w:val="single" w:sz="4" w:space="0" w:color="auto"/>
            </w:tcBorders>
          </w:tcPr>
          <w:p w14:paraId="0E7D1997"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0 - 0 - 0</w:t>
            </w:r>
          </w:p>
        </w:tc>
        <w:tc>
          <w:tcPr>
            <w:tcW w:w="1848" w:type="dxa"/>
            <w:tcBorders>
              <w:top w:val="single" w:sz="4" w:space="0" w:color="auto"/>
            </w:tcBorders>
          </w:tcPr>
          <w:p w14:paraId="704B60DD"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1.62</w:t>
            </w:r>
            <w:r w:rsidRPr="00417A14">
              <w:rPr>
                <w:rFonts w:ascii="Times New Roman" w:hAnsi="Times New Roman"/>
                <w:sz w:val="24"/>
                <w:szCs w:val="24"/>
              </w:rPr>
              <w:t>a</w:t>
            </w:r>
          </w:p>
        </w:tc>
        <w:tc>
          <w:tcPr>
            <w:tcW w:w="1848" w:type="dxa"/>
            <w:tcBorders>
              <w:top w:val="single" w:sz="4" w:space="0" w:color="auto"/>
            </w:tcBorders>
          </w:tcPr>
          <w:p w14:paraId="16CFE22B"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sz w:val="24"/>
                <w:szCs w:val="24"/>
              </w:rPr>
              <w:t>-</w:t>
            </w:r>
          </w:p>
        </w:tc>
        <w:tc>
          <w:tcPr>
            <w:tcW w:w="1849" w:type="dxa"/>
            <w:tcBorders>
              <w:top w:val="single" w:sz="4" w:space="0" w:color="auto"/>
            </w:tcBorders>
          </w:tcPr>
          <w:p w14:paraId="4024440B"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2.55</w:t>
            </w:r>
            <w:r w:rsidRPr="00417A14">
              <w:rPr>
                <w:rFonts w:ascii="Times New Roman" w:hAnsi="Times New Roman"/>
                <w:sz w:val="24"/>
                <w:szCs w:val="24"/>
              </w:rPr>
              <w:t>a</w:t>
            </w:r>
          </w:p>
        </w:tc>
        <w:tc>
          <w:tcPr>
            <w:tcW w:w="1849" w:type="dxa"/>
            <w:tcBorders>
              <w:top w:val="single" w:sz="4" w:space="0" w:color="auto"/>
            </w:tcBorders>
          </w:tcPr>
          <w:p w14:paraId="4A532B38"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w:t>
            </w:r>
          </w:p>
        </w:tc>
      </w:tr>
      <w:tr w:rsidR="00417A14" w:rsidRPr="00417A14" w14:paraId="2945C8BF" w14:textId="77777777" w:rsidTr="007D5662">
        <w:tc>
          <w:tcPr>
            <w:tcW w:w="1848" w:type="dxa"/>
          </w:tcPr>
          <w:p w14:paraId="6F75AC78"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10 – 15 – 10</w:t>
            </w:r>
          </w:p>
        </w:tc>
        <w:tc>
          <w:tcPr>
            <w:tcW w:w="1848" w:type="dxa"/>
          </w:tcPr>
          <w:p w14:paraId="1066679D"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sz w:val="24"/>
                <w:szCs w:val="24"/>
              </w:rPr>
              <w:t>2</w:t>
            </w:r>
            <w:r w:rsidRPr="00417A14">
              <w:rPr>
                <w:rFonts w:ascii="Times New Roman" w:hAnsi="Times New Roman" w:cs="Times New Roman"/>
                <w:sz w:val="24"/>
                <w:szCs w:val="24"/>
              </w:rPr>
              <w:t>.</w:t>
            </w:r>
            <w:r w:rsidRPr="00417A14">
              <w:rPr>
                <w:rFonts w:ascii="Times New Roman" w:hAnsi="Times New Roman"/>
                <w:sz w:val="24"/>
                <w:szCs w:val="24"/>
              </w:rPr>
              <w:t>00ab</w:t>
            </w:r>
          </w:p>
        </w:tc>
        <w:tc>
          <w:tcPr>
            <w:tcW w:w="1848" w:type="dxa"/>
          </w:tcPr>
          <w:p w14:paraId="43A1BACA"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sz w:val="24"/>
                <w:szCs w:val="24"/>
              </w:rPr>
              <w:t>23.46</w:t>
            </w:r>
          </w:p>
        </w:tc>
        <w:tc>
          <w:tcPr>
            <w:tcW w:w="1849" w:type="dxa"/>
          </w:tcPr>
          <w:p w14:paraId="2E87BF89"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3.52</w:t>
            </w:r>
            <w:r w:rsidRPr="00417A14">
              <w:rPr>
                <w:rFonts w:ascii="Times New Roman" w:hAnsi="Times New Roman"/>
                <w:sz w:val="24"/>
                <w:szCs w:val="24"/>
              </w:rPr>
              <w:t>b</w:t>
            </w:r>
          </w:p>
        </w:tc>
        <w:tc>
          <w:tcPr>
            <w:tcW w:w="1849" w:type="dxa"/>
          </w:tcPr>
          <w:p w14:paraId="28CBB0AE"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38.04</w:t>
            </w:r>
          </w:p>
        </w:tc>
      </w:tr>
      <w:tr w:rsidR="00417A14" w:rsidRPr="00417A14" w14:paraId="66A26510" w14:textId="77777777" w:rsidTr="007D5662">
        <w:tc>
          <w:tcPr>
            <w:tcW w:w="1848" w:type="dxa"/>
          </w:tcPr>
          <w:p w14:paraId="75331070"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 – 15 – 20</w:t>
            </w:r>
          </w:p>
        </w:tc>
        <w:tc>
          <w:tcPr>
            <w:tcW w:w="1848" w:type="dxa"/>
          </w:tcPr>
          <w:p w14:paraId="430A9CB6"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2.13</w:t>
            </w:r>
            <w:r w:rsidRPr="00417A14">
              <w:rPr>
                <w:rFonts w:ascii="Times New Roman" w:hAnsi="Times New Roman"/>
                <w:sz w:val="24"/>
                <w:szCs w:val="24"/>
              </w:rPr>
              <w:t>b</w:t>
            </w:r>
          </w:p>
        </w:tc>
        <w:tc>
          <w:tcPr>
            <w:tcW w:w="1848" w:type="dxa"/>
          </w:tcPr>
          <w:p w14:paraId="092ACE0F"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sz w:val="24"/>
                <w:szCs w:val="24"/>
              </w:rPr>
              <w:t>31.48</w:t>
            </w:r>
          </w:p>
        </w:tc>
        <w:tc>
          <w:tcPr>
            <w:tcW w:w="1849" w:type="dxa"/>
          </w:tcPr>
          <w:p w14:paraId="4A2FC40E"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3.64</w:t>
            </w:r>
            <w:r w:rsidRPr="00417A14">
              <w:rPr>
                <w:rFonts w:ascii="Times New Roman" w:hAnsi="Times New Roman"/>
                <w:sz w:val="24"/>
                <w:szCs w:val="24"/>
              </w:rPr>
              <w:t>bc</w:t>
            </w:r>
          </w:p>
        </w:tc>
        <w:tc>
          <w:tcPr>
            <w:tcW w:w="1849" w:type="dxa"/>
          </w:tcPr>
          <w:p w14:paraId="2581262D"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42.75</w:t>
            </w:r>
          </w:p>
        </w:tc>
      </w:tr>
      <w:tr w:rsidR="00417A14" w:rsidRPr="00417A14" w14:paraId="4C0D20C3" w14:textId="77777777" w:rsidTr="007D5662">
        <w:tc>
          <w:tcPr>
            <w:tcW w:w="1848" w:type="dxa"/>
          </w:tcPr>
          <w:p w14:paraId="7F0BF30C"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lastRenderedPageBreak/>
              <w:t>20 – 30 – 10</w:t>
            </w:r>
          </w:p>
        </w:tc>
        <w:tc>
          <w:tcPr>
            <w:tcW w:w="1848" w:type="dxa"/>
          </w:tcPr>
          <w:p w14:paraId="08780435"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2.24</w:t>
            </w:r>
            <w:r w:rsidRPr="00417A14">
              <w:rPr>
                <w:rFonts w:ascii="Times New Roman" w:hAnsi="Times New Roman"/>
                <w:sz w:val="24"/>
                <w:szCs w:val="24"/>
              </w:rPr>
              <w:t>bc</w:t>
            </w:r>
          </w:p>
        </w:tc>
        <w:tc>
          <w:tcPr>
            <w:tcW w:w="1848" w:type="dxa"/>
          </w:tcPr>
          <w:p w14:paraId="7F4607A4"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sz w:val="24"/>
                <w:szCs w:val="24"/>
              </w:rPr>
              <w:t>38.27</w:t>
            </w:r>
          </w:p>
        </w:tc>
        <w:tc>
          <w:tcPr>
            <w:tcW w:w="1849" w:type="dxa"/>
          </w:tcPr>
          <w:p w14:paraId="3CA02D18"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3.74</w:t>
            </w:r>
            <w:r w:rsidRPr="00417A14">
              <w:rPr>
                <w:rFonts w:ascii="Times New Roman" w:hAnsi="Times New Roman"/>
                <w:sz w:val="24"/>
                <w:szCs w:val="24"/>
              </w:rPr>
              <w:t>cd</w:t>
            </w:r>
          </w:p>
        </w:tc>
        <w:tc>
          <w:tcPr>
            <w:tcW w:w="1849" w:type="dxa"/>
          </w:tcPr>
          <w:p w14:paraId="67EEB7C6"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46.67</w:t>
            </w:r>
          </w:p>
        </w:tc>
      </w:tr>
      <w:tr w:rsidR="00417A14" w:rsidRPr="00417A14" w14:paraId="596579CC" w14:textId="77777777" w:rsidTr="007D5662">
        <w:tc>
          <w:tcPr>
            <w:tcW w:w="1848" w:type="dxa"/>
          </w:tcPr>
          <w:p w14:paraId="2EAEC004"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 – 30 – 20</w:t>
            </w:r>
          </w:p>
        </w:tc>
        <w:tc>
          <w:tcPr>
            <w:tcW w:w="1848" w:type="dxa"/>
          </w:tcPr>
          <w:p w14:paraId="010937DE"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2.41</w:t>
            </w:r>
            <w:r w:rsidRPr="00417A14">
              <w:rPr>
                <w:rFonts w:ascii="Times New Roman" w:hAnsi="Times New Roman"/>
                <w:sz w:val="24"/>
                <w:szCs w:val="24"/>
              </w:rPr>
              <w:t>bc</w:t>
            </w:r>
          </w:p>
        </w:tc>
        <w:tc>
          <w:tcPr>
            <w:tcW w:w="1848" w:type="dxa"/>
          </w:tcPr>
          <w:p w14:paraId="59B0EE07"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sz w:val="24"/>
                <w:szCs w:val="24"/>
              </w:rPr>
              <w:t>48.76</w:t>
            </w:r>
          </w:p>
        </w:tc>
        <w:tc>
          <w:tcPr>
            <w:tcW w:w="1849" w:type="dxa"/>
          </w:tcPr>
          <w:p w14:paraId="73A86D17"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3.89</w:t>
            </w:r>
            <w:r w:rsidRPr="00417A14">
              <w:rPr>
                <w:rFonts w:ascii="Times New Roman" w:hAnsi="Times New Roman"/>
                <w:sz w:val="24"/>
                <w:szCs w:val="24"/>
              </w:rPr>
              <w:t>de</w:t>
            </w:r>
          </w:p>
        </w:tc>
        <w:tc>
          <w:tcPr>
            <w:tcW w:w="1849" w:type="dxa"/>
          </w:tcPr>
          <w:p w14:paraId="1F6DFBE6"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52.55</w:t>
            </w:r>
          </w:p>
        </w:tc>
      </w:tr>
      <w:tr w:rsidR="00417A14" w:rsidRPr="00417A14" w14:paraId="40659484" w14:textId="77777777" w:rsidTr="007D5662">
        <w:tc>
          <w:tcPr>
            <w:tcW w:w="1848" w:type="dxa"/>
          </w:tcPr>
          <w:p w14:paraId="24FE7FBF"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 – 45 – 20</w:t>
            </w:r>
          </w:p>
        </w:tc>
        <w:tc>
          <w:tcPr>
            <w:tcW w:w="1848" w:type="dxa"/>
          </w:tcPr>
          <w:p w14:paraId="527786CC"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2.50</w:t>
            </w:r>
            <w:r w:rsidRPr="00417A14">
              <w:rPr>
                <w:rFonts w:ascii="Times New Roman" w:hAnsi="Times New Roman"/>
                <w:sz w:val="24"/>
                <w:szCs w:val="24"/>
              </w:rPr>
              <w:t>bc</w:t>
            </w:r>
          </w:p>
        </w:tc>
        <w:tc>
          <w:tcPr>
            <w:tcW w:w="1848" w:type="dxa"/>
          </w:tcPr>
          <w:p w14:paraId="4E7B13BB"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sz w:val="24"/>
                <w:szCs w:val="24"/>
              </w:rPr>
              <w:t>54.32</w:t>
            </w:r>
          </w:p>
        </w:tc>
        <w:tc>
          <w:tcPr>
            <w:tcW w:w="1849" w:type="dxa"/>
          </w:tcPr>
          <w:p w14:paraId="62B0BBAE"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4.06</w:t>
            </w:r>
            <w:r w:rsidRPr="00417A14">
              <w:rPr>
                <w:rFonts w:ascii="Times New Roman" w:hAnsi="Times New Roman"/>
                <w:sz w:val="24"/>
                <w:szCs w:val="24"/>
              </w:rPr>
              <w:t>ef</w:t>
            </w:r>
          </w:p>
        </w:tc>
        <w:tc>
          <w:tcPr>
            <w:tcW w:w="1849" w:type="dxa"/>
          </w:tcPr>
          <w:p w14:paraId="311CFEBE"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59.22</w:t>
            </w:r>
          </w:p>
        </w:tc>
      </w:tr>
      <w:tr w:rsidR="00417A14" w:rsidRPr="00417A14" w14:paraId="260FFCDF" w14:textId="77777777" w:rsidTr="007D5662">
        <w:tc>
          <w:tcPr>
            <w:tcW w:w="1848" w:type="dxa"/>
          </w:tcPr>
          <w:p w14:paraId="13FF6F76"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30 – 45 - 30</w:t>
            </w:r>
          </w:p>
        </w:tc>
        <w:tc>
          <w:tcPr>
            <w:tcW w:w="1848" w:type="dxa"/>
          </w:tcPr>
          <w:p w14:paraId="4963BDBC"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2.68</w:t>
            </w:r>
            <w:r w:rsidRPr="00417A14">
              <w:rPr>
                <w:rFonts w:ascii="Times New Roman" w:hAnsi="Times New Roman"/>
                <w:sz w:val="24"/>
                <w:szCs w:val="24"/>
              </w:rPr>
              <w:t>c</w:t>
            </w:r>
          </w:p>
        </w:tc>
        <w:tc>
          <w:tcPr>
            <w:tcW w:w="1848" w:type="dxa"/>
          </w:tcPr>
          <w:p w14:paraId="1272B429"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sz w:val="24"/>
                <w:szCs w:val="24"/>
              </w:rPr>
              <w:t>65.43</w:t>
            </w:r>
          </w:p>
        </w:tc>
        <w:tc>
          <w:tcPr>
            <w:tcW w:w="1849" w:type="dxa"/>
          </w:tcPr>
          <w:p w14:paraId="55763AB9"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4.21f</w:t>
            </w:r>
          </w:p>
        </w:tc>
        <w:tc>
          <w:tcPr>
            <w:tcW w:w="1849" w:type="dxa"/>
          </w:tcPr>
          <w:p w14:paraId="33B79D08" w14:textId="77777777" w:rsidR="00936876" w:rsidRPr="00417A14" w:rsidRDefault="00936876" w:rsidP="007D5662">
            <w:pPr>
              <w:tabs>
                <w:tab w:val="left" w:pos="2970"/>
              </w:tabs>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65.10</w:t>
            </w:r>
          </w:p>
        </w:tc>
      </w:tr>
      <w:tr w:rsidR="00417A14" w:rsidRPr="00417A14" w14:paraId="5662249E" w14:textId="77777777" w:rsidTr="007D5662">
        <w:tc>
          <w:tcPr>
            <w:tcW w:w="1848" w:type="dxa"/>
          </w:tcPr>
          <w:p w14:paraId="4E64BCFF" w14:textId="77777777" w:rsidR="00936876" w:rsidRPr="00417A14" w:rsidRDefault="00936876" w:rsidP="007D5662">
            <w:pPr>
              <w:spacing w:line="360" w:lineRule="auto"/>
              <w:jc w:val="center"/>
              <w:rPr>
                <w:rFonts w:ascii="Times New Roman" w:hAnsi="Times New Roman" w:cs="Times New Roman"/>
                <w:sz w:val="24"/>
                <w:szCs w:val="24"/>
              </w:rPr>
            </w:pPr>
            <w:proofErr w:type="spellStart"/>
            <w:r w:rsidRPr="00417A14">
              <w:rPr>
                <w:rFonts w:ascii="Times New Roman" w:hAnsi="Times New Roman" w:cs="Times New Roman"/>
                <w:sz w:val="24"/>
                <w:szCs w:val="24"/>
              </w:rPr>
              <w:t>Fpr</w:t>
            </w:r>
            <w:proofErr w:type="spellEnd"/>
          </w:p>
        </w:tc>
        <w:tc>
          <w:tcPr>
            <w:tcW w:w="1848" w:type="dxa"/>
          </w:tcPr>
          <w:p w14:paraId="09B34F24"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0.0</w:t>
            </w:r>
            <w:r w:rsidRPr="00417A14">
              <w:rPr>
                <w:rFonts w:ascii="Times New Roman" w:hAnsi="Times New Roman"/>
                <w:sz w:val="24"/>
                <w:szCs w:val="24"/>
              </w:rPr>
              <w:t>08</w:t>
            </w:r>
            <w:r w:rsidRPr="00417A14">
              <w:rPr>
                <w:rFonts w:ascii="Times New Roman" w:hAnsi="Times New Roman" w:cs="Times New Roman"/>
                <w:sz w:val="24"/>
                <w:szCs w:val="24"/>
              </w:rPr>
              <w:t>**</w:t>
            </w:r>
          </w:p>
        </w:tc>
        <w:tc>
          <w:tcPr>
            <w:tcW w:w="1848" w:type="dxa"/>
          </w:tcPr>
          <w:p w14:paraId="3EEFDD03" w14:textId="77777777" w:rsidR="00936876" w:rsidRPr="00417A14" w:rsidRDefault="00936876" w:rsidP="007D5662">
            <w:pPr>
              <w:spacing w:line="360" w:lineRule="auto"/>
              <w:jc w:val="center"/>
              <w:rPr>
                <w:rFonts w:ascii="Times New Roman" w:hAnsi="Times New Roman" w:cs="Times New Roman"/>
                <w:sz w:val="24"/>
                <w:szCs w:val="24"/>
              </w:rPr>
            </w:pPr>
          </w:p>
        </w:tc>
        <w:tc>
          <w:tcPr>
            <w:tcW w:w="1849" w:type="dxa"/>
          </w:tcPr>
          <w:p w14:paraId="12FE9A21"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eastAsiaTheme="minorHAnsi" w:hAnsi="Times New Roman" w:cs="Times New Roman"/>
                <w:sz w:val="24"/>
                <w:szCs w:val="24"/>
                <w:lang w:val="en-GB"/>
              </w:rPr>
              <w:t>&lt;.001</w:t>
            </w:r>
            <w:r w:rsidRPr="00417A14">
              <w:rPr>
                <w:rFonts w:ascii="Times New Roman" w:eastAsiaTheme="minorHAnsi" w:hAnsi="Times New Roman"/>
                <w:sz w:val="24"/>
                <w:szCs w:val="24"/>
                <w:lang w:val="en-GB"/>
              </w:rPr>
              <w:t>**</w:t>
            </w:r>
          </w:p>
        </w:tc>
        <w:tc>
          <w:tcPr>
            <w:tcW w:w="1849" w:type="dxa"/>
          </w:tcPr>
          <w:p w14:paraId="4C6B95E4" w14:textId="77777777" w:rsidR="00936876" w:rsidRPr="00417A14" w:rsidRDefault="00936876" w:rsidP="007D5662">
            <w:pPr>
              <w:spacing w:line="360" w:lineRule="auto"/>
              <w:jc w:val="center"/>
              <w:rPr>
                <w:rFonts w:ascii="Times New Roman" w:hAnsi="Times New Roman" w:cs="Times New Roman"/>
                <w:sz w:val="24"/>
                <w:szCs w:val="24"/>
              </w:rPr>
            </w:pPr>
          </w:p>
        </w:tc>
      </w:tr>
    </w:tbl>
    <w:p w14:paraId="0E23A49B" w14:textId="11F4B1FB" w:rsidR="00936876" w:rsidRPr="00417A14" w:rsidRDefault="00936876" w:rsidP="00936876">
      <w:pPr>
        <w:autoSpaceDE w:val="0"/>
        <w:autoSpaceDN w:val="0"/>
        <w:adjustRightInd w:val="0"/>
        <w:spacing w:line="240" w:lineRule="auto"/>
        <w:rPr>
          <w:rFonts w:ascii="Times New Roman" w:hAnsi="Times New Roman"/>
          <w:sz w:val="24"/>
          <w:szCs w:val="24"/>
          <w:lang w:val="en-AU"/>
        </w:rPr>
      </w:pPr>
      <w:r w:rsidRPr="00417A14">
        <w:rPr>
          <w:rFonts w:ascii="Times New Roman" w:hAnsi="Times New Roman"/>
          <w:sz w:val="24"/>
          <w:szCs w:val="24"/>
          <w:lang w:val="en-AU"/>
        </w:rPr>
        <w:t xml:space="preserve">Data represent the mean of each of the treatments. Data designated with the same letter(s) are not significantly (P &lt; 0.05) different according to </w:t>
      </w:r>
      <w:r w:rsidR="00587A53" w:rsidRPr="00417A14">
        <w:rPr>
          <w:rFonts w:ascii="Times New Roman" w:hAnsi="Times New Roman"/>
          <w:sz w:val="24"/>
          <w:szCs w:val="24"/>
          <w:lang w:val="en-AU"/>
        </w:rPr>
        <w:t xml:space="preserve">Fisher's </w:t>
      </w:r>
      <w:r w:rsidRPr="00417A14">
        <w:rPr>
          <w:rFonts w:ascii="Times New Roman" w:hAnsi="Times New Roman"/>
          <w:sz w:val="24"/>
          <w:szCs w:val="24"/>
          <w:lang w:val="en-AU"/>
        </w:rPr>
        <w:t>least significant difference method. F.pr – F probability, **highly significant at 5%.</w:t>
      </w:r>
    </w:p>
    <w:p w14:paraId="086E94AC" w14:textId="77777777" w:rsidR="00936876" w:rsidRPr="00417A14" w:rsidRDefault="00936876" w:rsidP="00936876">
      <w:pPr>
        <w:tabs>
          <w:tab w:val="right" w:pos="1170"/>
          <w:tab w:val="right" w:pos="2691"/>
          <w:tab w:val="right" w:pos="4212"/>
          <w:tab w:val="right" w:pos="5733"/>
          <w:tab w:val="right" w:pos="7254"/>
          <w:tab w:val="right" w:pos="8775"/>
        </w:tabs>
        <w:autoSpaceDE w:val="0"/>
        <w:autoSpaceDN w:val="0"/>
        <w:adjustRightInd w:val="0"/>
        <w:spacing w:after="0" w:line="240" w:lineRule="auto"/>
        <w:rPr>
          <w:rFonts w:ascii="Arial" w:eastAsiaTheme="minorHAnsi" w:hAnsi="Arial" w:cs="Arial"/>
          <w:sz w:val="20"/>
          <w:szCs w:val="20"/>
          <w:lang w:val="en-GB"/>
        </w:rPr>
      </w:pPr>
    </w:p>
    <w:p w14:paraId="2C5F5565" w14:textId="77777777" w:rsidR="00417A14" w:rsidRPr="00417A14" w:rsidRDefault="00417A14" w:rsidP="00417A14">
      <w:pPr>
        <w:spacing w:line="480" w:lineRule="auto"/>
        <w:jc w:val="both"/>
        <w:rPr>
          <w:rFonts w:ascii="Times New Roman" w:hAnsi="Times New Roman"/>
          <w:sz w:val="24"/>
          <w:szCs w:val="24"/>
        </w:rPr>
      </w:pPr>
      <w:r w:rsidRPr="00417A14">
        <w:rPr>
          <w:rFonts w:ascii="Times New Roman" w:hAnsi="Times New Roman"/>
          <w:sz w:val="24"/>
          <w:szCs w:val="24"/>
        </w:rPr>
        <w:t>However, in 2013, it gave a biomass yield of 3.52 tons/ha, which differed significantly from 2.55 tons/ha obtained from the control. Comparing biomass yield across the 2 cropping seasons (Table 5) showed that cowpea responded differently in both seasons (P &lt; 0.01).</w:t>
      </w:r>
    </w:p>
    <w:p w14:paraId="154A2D1B" w14:textId="3392A684" w:rsidR="00936876" w:rsidRPr="00417A14" w:rsidRDefault="00936876" w:rsidP="00936876">
      <w:pPr>
        <w:autoSpaceDE w:val="0"/>
        <w:autoSpaceDN w:val="0"/>
        <w:adjustRightInd w:val="0"/>
        <w:spacing w:after="0" w:line="360" w:lineRule="auto"/>
        <w:jc w:val="both"/>
        <w:rPr>
          <w:rFonts w:ascii="Times New Roman" w:hAnsi="Times New Roman"/>
          <w:b/>
          <w:sz w:val="24"/>
          <w:szCs w:val="24"/>
        </w:rPr>
      </w:pPr>
      <w:r w:rsidRPr="00417A14" w:rsidDel="008A54AA">
        <w:rPr>
          <w:rFonts w:ascii="Times New Roman" w:hAnsi="Times New Roman"/>
          <w:b/>
          <w:sz w:val="24"/>
          <w:szCs w:val="24"/>
          <w:lang w:val="en-AU"/>
        </w:rPr>
        <w:t xml:space="preserve">Table </w:t>
      </w:r>
      <w:r w:rsidRPr="00417A14">
        <w:rPr>
          <w:rFonts w:ascii="Times New Roman" w:hAnsi="Times New Roman"/>
          <w:b/>
          <w:sz w:val="24"/>
          <w:szCs w:val="24"/>
          <w:lang w:val="en-AU"/>
        </w:rPr>
        <w:t xml:space="preserve">5. </w:t>
      </w:r>
      <w:r w:rsidRPr="00417A14">
        <w:rPr>
          <w:rFonts w:ascii="Times New Roman" w:hAnsi="Times New Roman"/>
          <w:b/>
          <w:sz w:val="24"/>
          <w:szCs w:val="24"/>
        </w:rPr>
        <w:t>E</w:t>
      </w:r>
      <w:r w:rsidRPr="00417A14" w:rsidDel="008A54AA">
        <w:rPr>
          <w:rFonts w:ascii="Times New Roman" w:hAnsi="Times New Roman"/>
          <w:b/>
          <w:sz w:val="24"/>
          <w:szCs w:val="24"/>
        </w:rPr>
        <w:t xml:space="preserve">ffects of </w:t>
      </w:r>
      <w:r w:rsidRPr="00417A14">
        <w:rPr>
          <w:rFonts w:ascii="Times New Roman" w:hAnsi="Times New Roman"/>
          <w:b/>
          <w:sz w:val="24"/>
          <w:szCs w:val="24"/>
        </w:rPr>
        <w:t>cropping season</w:t>
      </w:r>
      <w:r w:rsidRPr="00417A14" w:rsidDel="008A54AA">
        <w:rPr>
          <w:rFonts w:ascii="Times New Roman" w:hAnsi="Times New Roman"/>
          <w:b/>
          <w:sz w:val="24"/>
          <w:szCs w:val="24"/>
        </w:rPr>
        <w:t xml:space="preserve"> (2012 and 2013) on </w:t>
      </w:r>
      <w:r w:rsidR="00587A53" w:rsidRPr="00417A14">
        <w:rPr>
          <w:rFonts w:ascii="Times New Roman" w:hAnsi="Times New Roman"/>
          <w:b/>
          <w:sz w:val="24"/>
          <w:szCs w:val="24"/>
        </w:rPr>
        <w:t>cowpea biomass response</w:t>
      </w:r>
      <w:r w:rsidRPr="00417A14" w:rsidDel="008A54AA">
        <w:rPr>
          <w:rFonts w:ascii="Times New Roman" w:hAnsi="Times New Roman"/>
          <w:b/>
          <w:sz w:val="24"/>
          <w:szCs w:val="24"/>
        </w:rPr>
        <w:t xml:space="preserve"> yield to fertilizer rates at Nyoli.</w:t>
      </w:r>
    </w:p>
    <w:p w14:paraId="59B11523" w14:textId="77777777" w:rsidR="00936876" w:rsidRPr="00417A14" w:rsidRDefault="00936876" w:rsidP="00936876">
      <w:pPr>
        <w:autoSpaceDE w:val="0"/>
        <w:autoSpaceDN w:val="0"/>
        <w:adjustRightInd w:val="0"/>
        <w:spacing w:after="0" w:line="360" w:lineRule="auto"/>
        <w:jc w:val="both"/>
        <w:rPr>
          <w:rFonts w:ascii="Times New Roman" w:hAnsi="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827"/>
      </w:tblGrid>
      <w:tr w:rsidR="00417A14" w:rsidRPr="00417A14" w14:paraId="57419495" w14:textId="77777777" w:rsidTr="007D5662">
        <w:tc>
          <w:tcPr>
            <w:tcW w:w="3227" w:type="dxa"/>
            <w:tcBorders>
              <w:top w:val="single" w:sz="4" w:space="0" w:color="auto"/>
              <w:bottom w:val="single" w:sz="4" w:space="0" w:color="auto"/>
            </w:tcBorders>
          </w:tcPr>
          <w:p w14:paraId="7984BF9F"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Season</w:t>
            </w:r>
          </w:p>
        </w:tc>
        <w:tc>
          <w:tcPr>
            <w:tcW w:w="3827" w:type="dxa"/>
            <w:tcBorders>
              <w:top w:val="single" w:sz="4" w:space="0" w:color="auto"/>
              <w:bottom w:val="single" w:sz="4" w:space="0" w:color="auto"/>
            </w:tcBorders>
          </w:tcPr>
          <w:p w14:paraId="74B823C8"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Biomass yield</w:t>
            </w:r>
          </w:p>
        </w:tc>
      </w:tr>
      <w:tr w:rsidR="00417A14" w:rsidRPr="00417A14" w14:paraId="5BF1EAFB" w14:textId="77777777" w:rsidTr="007D5662">
        <w:tc>
          <w:tcPr>
            <w:tcW w:w="3227" w:type="dxa"/>
            <w:tcBorders>
              <w:top w:val="single" w:sz="4" w:space="0" w:color="auto"/>
            </w:tcBorders>
          </w:tcPr>
          <w:p w14:paraId="09EE0BBF"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2012</w:t>
            </w:r>
          </w:p>
        </w:tc>
        <w:tc>
          <w:tcPr>
            <w:tcW w:w="3827" w:type="dxa"/>
            <w:tcBorders>
              <w:top w:val="single" w:sz="4" w:space="0" w:color="auto"/>
            </w:tcBorders>
          </w:tcPr>
          <w:p w14:paraId="0C455C48"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w:t>
            </w:r>
            <w:r w:rsidRPr="00417A14">
              <w:rPr>
                <w:rFonts w:ascii="Times New Roman" w:hAnsi="Times New Roman"/>
                <w:sz w:val="24"/>
                <w:szCs w:val="24"/>
              </w:rPr>
              <w:t>2</w:t>
            </w:r>
            <w:r w:rsidRPr="00417A14">
              <w:rPr>
                <w:rFonts w:ascii="Times New Roman" w:hAnsi="Times New Roman" w:cs="Times New Roman"/>
                <w:sz w:val="24"/>
                <w:szCs w:val="24"/>
              </w:rPr>
              <w:t>3a</w:t>
            </w:r>
          </w:p>
        </w:tc>
      </w:tr>
      <w:tr w:rsidR="00417A14" w:rsidRPr="00417A14" w14:paraId="0450FF7E" w14:textId="77777777" w:rsidTr="007D5662">
        <w:tc>
          <w:tcPr>
            <w:tcW w:w="3227" w:type="dxa"/>
            <w:tcBorders>
              <w:bottom w:val="nil"/>
            </w:tcBorders>
          </w:tcPr>
          <w:p w14:paraId="6AD07B31"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2013</w:t>
            </w:r>
          </w:p>
        </w:tc>
        <w:tc>
          <w:tcPr>
            <w:tcW w:w="3827" w:type="dxa"/>
            <w:tcBorders>
              <w:bottom w:val="nil"/>
            </w:tcBorders>
          </w:tcPr>
          <w:p w14:paraId="5B13091A"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3.66b</w:t>
            </w:r>
          </w:p>
        </w:tc>
      </w:tr>
      <w:tr w:rsidR="00417A14" w:rsidRPr="00417A14" w14:paraId="58324C0C" w14:textId="77777777" w:rsidTr="007D5662">
        <w:tc>
          <w:tcPr>
            <w:tcW w:w="3227" w:type="dxa"/>
            <w:tcBorders>
              <w:top w:val="nil"/>
              <w:bottom w:val="single" w:sz="4" w:space="0" w:color="auto"/>
              <w:right w:val="nil"/>
            </w:tcBorders>
          </w:tcPr>
          <w:p w14:paraId="32663E78" w14:textId="77777777" w:rsidR="00936876" w:rsidRPr="00417A14" w:rsidRDefault="00936876" w:rsidP="007D5662">
            <w:pPr>
              <w:spacing w:line="360" w:lineRule="auto"/>
              <w:jc w:val="center"/>
              <w:rPr>
                <w:rFonts w:ascii="Times New Roman" w:hAnsi="Times New Roman" w:cs="Times New Roman"/>
                <w:sz w:val="24"/>
                <w:szCs w:val="24"/>
              </w:rPr>
            </w:pPr>
            <w:proofErr w:type="spellStart"/>
            <w:r w:rsidRPr="00417A14">
              <w:rPr>
                <w:rFonts w:ascii="Times New Roman" w:hAnsi="Times New Roman" w:cs="Times New Roman"/>
                <w:sz w:val="24"/>
                <w:szCs w:val="24"/>
              </w:rPr>
              <w:t>Fpr</w:t>
            </w:r>
            <w:proofErr w:type="spellEnd"/>
          </w:p>
        </w:tc>
        <w:tc>
          <w:tcPr>
            <w:tcW w:w="3827" w:type="dxa"/>
            <w:tcBorders>
              <w:top w:val="nil"/>
              <w:left w:val="nil"/>
              <w:bottom w:val="single" w:sz="4" w:space="0" w:color="auto"/>
            </w:tcBorders>
          </w:tcPr>
          <w:p w14:paraId="17775631"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&lt;0.001**</w:t>
            </w:r>
          </w:p>
        </w:tc>
      </w:tr>
    </w:tbl>
    <w:p w14:paraId="1C9C55AF" w14:textId="0F12BA59" w:rsidR="00936876" w:rsidRPr="00417A14" w:rsidRDefault="00936876" w:rsidP="00936876">
      <w:pPr>
        <w:autoSpaceDE w:val="0"/>
        <w:autoSpaceDN w:val="0"/>
        <w:adjustRightInd w:val="0"/>
        <w:spacing w:line="240" w:lineRule="auto"/>
        <w:jc w:val="both"/>
        <w:rPr>
          <w:rFonts w:ascii="Times New Roman" w:hAnsi="Times New Roman"/>
          <w:sz w:val="24"/>
          <w:szCs w:val="24"/>
          <w:lang w:val="en-AU"/>
        </w:rPr>
      </w:pPr>
      <w:r w:rsidRPr="00417A14">
        <w:rPr>
          <w:rFonts w:ascii="Times New Roman" w:hAnsi="Times New Roman"/>
          <w:sz w:val="24"/>
          <w:szCs w:val="24"/>
          <w:lang w:val="en-AU"/>
        </w:rPr>
        <w:t xml:space="preserve">Data represent the grand mean of all the treatments for each season. Data designated with </w:t>
      </w:r>
      <w:r w:rsidR="00587A53" w:rsidRPr="00417A14">
        <w:rPr>
          <w:rFonts w:ascii="Times New Roman" w:hAnsi="Times New Roman"/>
          <w:sz w:val="24"/>
          <w:szCs w:val="24"/>
          <w:lang w:val="en-AU"/>
        </w:rPr>
        <w:t xml:space="preserve">a </w:t>
      </w:r>
      <w:r w:rsidRPr="00417A14">
        <w:rPr>
          <w:rFonts w:ascii="Times New Roman" w:hAnsi="Times New Roman"/>
          <w:sz w:val="24"/>
          <w:szCs w:val="24"/>
          <w:lang w:val="en-AU"/>
        </w:rPr>
        <w:t xml:space="preserve">different letter(s) are significantly (P &lt; 0.05) different according to </w:t>
      </w:r>
      <w:r w:rsidR="00587A53" w:rsidRPr="00417A14">
        <w:rPr>
          <w:rFonts w:ascii="Times New Roman" w:hAnsi="Times New Roman"/>
          <w:sz w:val="24"/>
          <w:szCs w:val="24"/>
          <w:lang w:val="en-AU"/>
        </w:rPr>
        <w:t xml:space="preserve">Fisher's </w:t>
      </w:r>
      <w:r w:rsidRPr="00417A14">
        <w:rPr>
          <w:rFonts w:ascii="Times New Roman" w:hAnsi="Times New Roman"/>
          <w:sz w:val="24"/>
          <w:szCs w:val="24"/>
          <w:lang w:val="en-AU"/>
        </w:rPr>
        <w:t>least significant difference method. F.pr – F probability, **highly significant at 5%.</w:t>
      </w:r>
    </w:p>
    <w:p w14:paraId="348FCE93" w14:textId="77777777" w:rsidR="00936876" w:rsidRPr="00417A14" w:rsidRDefault="00936876" w:rsidP="00936876">
      <w:pPr>
        <w:pStyle w:val="Heading2"/>
        <w:spacing w:line="480" w:lineRule="auto"/>
        <w:rPr>
          <w:b w:val="0"/>
          <w:szCs w:val="24"/>
        </w:rPr>
      </w:pPr>
      <w:bookmarkStart w:id="14" w:name="_Hlk45506488"/>
      <w:bookmarkEnd w:id="12"/>
      <w:bookmarkEnd w:id="13"/>
      <w:r w:rsidRPr="00417A14">
        <w:t xml:space="preserve">Effect of fertilizer treatments on cowpea </w:t>
      </w:r>
      <w:r w:rsidRPr="00417A14">
        <w:rPr>
          <w:szCs w:val="24"/>
        </w:rPr>
        <w:t>grain and biomass nutrient uptake</w:t>
      </w:r>
    </w:p>
    <w:bookmarkEnd w:id="14"/>
    <w:p w14:paraId="0BF4B97E" w14:textId="77777777" w:rsidR="00936876" w:rsidRPr="00417A14" w:rsidRDefault="00936876" w:rsidP="00936876">
      <w:pPr>
        <w:tabs>
          <w:tab w:val="left" w:pos="8130"/>
        </w:tabs>
        <w:spacing w:after="0" w:line="480" w:lineRule="auto"/>
        <w:jc w:val="both"/>
        <w:rPr>
          <w:rFonts w:ascii="Times New Roman" w:hAnsi="Times New Roman"/>
          <w:sz w:val="24"/>
          <w:szCs w:val="24"/>
        </w:rPr>
      </w:pPr>
      <w:r w:rsidRPr="00417A14">
        <w:rPr>
          <w:rFonts w:ascii="Times New Roman" w:hAnsi="Times New Roman"/>
          <w:sz w:val="24"/>
          <w:szCs w:val="24"/>
        </w:rPr>
        <w:t>The N, P and K</w:t>
      </w:r>
      <w:r w:rsidRPr="00417A14">
        <w:rPr>
          <w:rFonts w:ascii="Times New Roman" w:hAnsi="Times New Roman"/>
          <w:bCs/>
          <w:sz w:val="24"/>
          <w:szCs w:val="24"/>
        </w:rPr>
        <w:t xml:space="preserve"> content </w:t>
      </w:r>
      <w:r w:rsidRPr="00417A14">
        <w:rPr>
          <w:rFonts w:ascii="Times New Roman" w:hAnsi="Times New Roman"/>
          <w:sz w:val="24"/>
          <w:szCs w:val="24"/>
        </w:rPr>
        <w:t xml:space="preserve">dry grain and biomass of cowpea for the 2 cropping seasons are presented in figure 1 - 4. The biomass N, P and k uptake among all the treatments did not differ significantly (P &gt; 0.05) across the two cropping seasons. For each of the year, the quantity of grain N and K uptake (Figure 1 and 3) were significantly different among the treatments (P &lt; 0.05). Grain N uptake ranged from 3.07 to 6.42 and 2.82 to 6.33 for 2012 and 2013, respectively. The quantity of grain K (Figure 1 and 3) uptake ranged from 1.54 to 3.27 and 1.87 to 4.22 kg/ha for 2012 and 2013, respectively. Across the cropping season, grain P uptake did not differ significantly (P &gt; 0.05). The values ranged from 0.39 to 0.71 </w:t>
      </w:r>
      <w:r w:rsidRPr="00417A14">
        <w:rPr>
          <w:rFonts w:ascii="Times New Roman" w:hAnsi="Times New Roman"/>
          <w:sz w:val="24"/>
          <w:szCs w:val="24"/>
        </w:rPr>
        <w:lastRenderedPageBreak/>
        <w:t>and 0.22 to 0.60 for both cropping seasons. The lowest grain uptake was obtained from the control while treatment 30 – 45 – 30 (N-P</w:t>
      </w:r>
      <w:r w:rsidRPr="00417A14">
        <w:rPr>
          <w:rFonts w:ascii="Times New Roman" w:hAnsi="Times New Roman"/>
          <w:sz w:val="24"/>
          <w:szCs w:val="24"/>
          <w:vertAlign w:val="subscript"/>
        </w:rPr>
        <w:t>2</w:t>
      </w:r>
      <w:r w:rsidRPr="00417A14">
        <w:rPr>
          <w:rFonts w:ascii="Times New Roman" w:hAnsi="Times New Roman"/>
          <w:sz w:val="24"/>
          <w:szCs w:val="24"/>
        </w:rPr>
        <w:t>O</w:t>
      </w:r>
      <w:r w:rsidRPr="00417A14">
        <w:rPr>
          <w:rFonts w:ascii="Times New Roman" w:hAnsi="Times New Roman"/>
          <w:sz w:val="24"/>
          <w:szCs w:val="24"/>
          <w:vertAlign w:val="subscript"/>
        </w:rPr>
        <w:t>5</w:t>
      </w:r>
      <w:r w:rsidRPr="00417A14">
        <w:rPr>
          <w:rFonts w:ascii="Times New Roman" w:hAnsi="Times New Roman"/>
          <w:sz w:val="24"/>
          <w:szCs w:val="24"/>
        </w:rPr>
        <w:t>- K</w:t>
      </w:r>
      <w:r w:rsidRPr="00417A14">
        <w:rPr>
          <w:rFonts w:ascii="Times New Roman" w:hAnsi="Times New Roman"/>
          <w:sz w:val="24"/>
          <w:szCs w:val="24"/>
          <w:vertAlign w:val="subscript"/>
        </w:rPr>
        <w:t>2</w:t>
      </w:r>
      <w:r w:rsidRPr="00417A14">
        <w:rPr>
          <w:rFonts w:ascii="Times New Roman" w:hAnsi="Times New Roman"/>
          <w:sz w:val="24"/>
          <w:szCs w:val="24"/>
        </w:rPr>
        <w:t xml:space="preserve">O/ha) gave the highest quantity of nutrient uptake for all the nutrients. </w:t>
      </w:r>
    </w:p>
    <w:p w14:paraId="467CD351" w14:textId="69926DE4" w:rsidR="00936876" w:rsidRPr="00417A14" w:rsidRDefault="00936876" w:rsidP="00936876">
      <w:pPr>
        <w:tabs>
          <w:tab w:val="left" w:pos="8130"/>
        </w:tabs>
        <w:spacing w:line="480" w:lineRule="auto"/>
        <w:jc w:val="both"/>
        <w:rPr>
          <w:rFonts w:ascii="Times New Roman" w:hAnsi="Times New Roman"/>
          <w:sz w:val="24"/>
          <w:szCs w:val="24"/>
        </w:rPr>
      </w:pPr>
      <w:r w:rsidRPr="00417A14">
        <w:rPr>
          <w:rFonts w:ascii="Times New Roman" w:hAnsi="Times New Roman"/>
          <w:sz w:val="24"/>
          <w:szCs w:val="24"/>
        </w:rPr>
        <w:t xml:space="preserve">Comparing the two cropping seasons, the biomass N, P and K uptake followed the same trend for all the treatments summarized in Table 6. Hence the seasons had no significant effect on the pattern of nutrient uptake in the biomass. The grain N and P uptake followed the same trend while grain K uptake differed significantly across the two seasons. </w:t>
      </w:r>
    </w:p>
    <w:p w14:paraId="3DC39B46" w14:textId="02C99B59" w:rsidR="00936876" w:rsidRPr="00417A14" w:rsidRDefault="00936876" w:rsidP="00936876">
      <w:pPr>
        <w:autoSpaceDE w:val="0"/>
        <w:autoSpaceDN w:val="0"/>
        <w:adjustRightInd w:val="0"/>
        <w:spacing w:after="0" w:line="240" w:lineRule="auto"/>
        <w:jc w:val="both"/>
      </w:pPr>
      <w:bookmarkStart w:id="15" w:name="_Hlk45763455"/>
      <w:r w:rsidRPr="00417A14">
        <w:rPr>
          <w:rFonts w:ascii="Times New Roman" w:hAnsi="Times New Roman"/>
          <w:noProof/>
        </w:rPr>
        <w:drawing>
          <wp:anchor distT="0" distB="0" distL="114300" distR="114300" simplePos="0" relativeHeight="251659264" behindDoc="0" locked="0" layoutInCell="1" allowOverlap="1" wp14:anchorId="3512F211" wp14:editId="32DD3E08">
            <wp:simplePos x="914400" y="1571625"/>
            <wp:positionH relativeFrom="column">
              <wp:align>left</wp:align>
            </wp:positionH>
            <wp:positionV relativeFrom="paragraph">
              <wp:align>top</wp:align>
            </wp:positionV>
            <wp:extent cx="4572000" cy="2743200"/>
            <wp:effectExtent l="0" t="0" r="0" b="0"/>
            <wp:wrapSquare wrapText="bothSides"/>
            <wp:docPr id="1" name="Chart 1">
              <a:extLst xmlns:a="http://schemas.openxmlformats.org/drawingml/2006/main">
                <a:ext uri="{FF2B5EF4-FFF2-40B4-BE49-F238E27FC236}">
                  <a16:creationId xmlns:a16="http://schemas.microsoft.com/office/drawing/2014/main" id="{A0B99A70-AFFD-4BB2-87A2-78E3ADBA0F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417A14">
        <w:br w:type="textWrapping" w:clear="all"/>
      </w:r>
      <w:r w:rsidRPr="00417A14">
        <w:rPr>
          <w:rFonts w:ascii="Times New Roman" w:hAnsi="Times New Roman"/>
          <w:b/>
          <w:bCs/>
          <w:sz w:val="24"/>
          <w:szCs w:val="24"/>
        </w:rPr>
        <w:t xml:space="preserve">Figure </w:t>
      </w:r>
      <w:r w:rsidRPr="00417A14">
        <w:rPr>
          <w:b/>
          <w:bCs/>
        </w:rPr>
        <w:t>1</w:t>
      </w:r>
      <w:r w:rsidRPr="00417A14">
        <w:rPr>
          <w:rFonts w:ascii="Times New Roman" w:hAnsi="Times New Roman"/>
          <w:b/>
          <w:bCs/>
          <w:sz w:val="24"/>
          <w:szCs w:val="24"/>
        </w:rPr>
        <w:t>. Grain</w:t>
      </w:r>
      <w:r w:rsidRPr="00417A14">
        <w:rPr>
          <w:b/>
          <w:bCs/>
        </w:rPr>
        <w:t xml:space="preserve"> nitrogen, p</w:t>
      </w:r>
      <w:r w:rsidRPr="00417A14">
        <w:rPr>
          <w:rFonts w:ascii="Times New Roman" w:hAnsi="Times New Roman"/>
          <w:b/>
          <w:bCs/>
          <w:sz w:val="24"/>
          <w:szCs w:val="24"/>
        </w:rPr>
        <w:t>hosphorus</w:t>
      </w:r>
      <w:r w:rsidRPr="00417A14">
        <w:rPr>
          <w:b/>
          <w:bCs/>
        </w:rPr>
        <w:t xml:space="preserve"> and</w:t>
      </w:r>
      <w:r w:rsidRPr="00417A14">
        <w:rPr>
          <w:rFonts w:ascii="Times New Roman" w:hAnsi="Times New Roman"/>
          <w:b/>
          <w:bCs/>
          <w:sz w:val="24"/>
          <w:szCs w:val="24"/>
        </w:rPr>
        <w:t xml:space="preserve"> potassium uptake as influenced by fertilizer treatments in 201</w:t>
      </w:r>
      <w:r w:rsidRPr="00417A14">
        <w:rPr>
          <w:b/>
          <w:bCs/>
        </w:rPr>
        <w:t>2</w:t>
      </w:r>
      <w:r w:rsidRPr="00417A14">
        <w:rPr>
          <w:rFonts w:ascii="Times New Roman" w:hAnsi="Times New Roman"/>
          <w:b/>
          <w:bCs/>
          <w:sz w:val="24"/>
          <w:szCs w:val="24"/>
        </w:rPr>
        <w:t xml:space="preserve"> cropping season. </w:t>
      </w:r>
      <w:r w:rsidRPr="00417A14">
        <w:t>E</w:t>
      </w:r>
      <w:r w:rsidRPr="00417A14">
        <w:rPr>
          <w:rFonts w:ascii="Times New Roman" w:eastAsia="MinionPro-Regular" w:hAnsi="Times New Roman"/>
          <w:sz w:val="24"/>
          <w:szCs w:val="24"/>
        </w:rPr>
        <w:t xml:space="preserve">rror bars denote the standard error of the mean). Bars designated with the same letter(s) are not significantly (P &lt; 0.05) different </w:t>
      </w:r>
      <w:r w:rsidRPr="00417A14">
        <w:rPr>
          <w:rFonts w:ascii="Times New Roman" w:eastAsiaTheme="minorHAnsi" w:hAnsi="Times New Roman"/>
          <w:sz w:val="24"/>
          <w:szCs w:val="24"/>
        </w:rPr>
        <w:t xml:space="preserve">according to </w:t>
      </w:r>
      <w:r w:rsidR="00587A53" w:rsidRPr="00417A14">
        <w:rPr>
          <w:rFonts w:ascii="Times New Roman" w:eastAsiaTheme="minorHAnsi" w:hAnsi="Times New Roman"/>
          <w:sz w:val="24"/>
          <w:szCs w:val="24"/>
        </w:rPr>
        <w:t xml:space="preserve">Fisher's </w:t>
      </w:r>
      <w:r w:rsidRPr="00417A14">
        <w:rPr>
          <w:rFonts w:ascii="Times New Roman" w:eastAsiaTheme="minorHAnsi" w:hAnsi="Times New Roman"/>
          <w:sz w:val="24"/>
          <w:szCs w:val="24"/>
        </w:rPr>
        <w:t>least significant difference method.</w:t>
      </w:r>
    </w:p>
    <w:p w14:paraId="1428A5E6" w14:textId="77777777" w:rsidR="00936876" w:rsidRPr="00417A14" w:rsidRDefault="00936876" w:rsidP="00936876">
      <w:pPr>
        <w:autoSpaceDE w:val="0"/>
        <w:autoSpaceDN w:val="0"/>
        <w:adjustRightInd w:val="0"/>
        <w:spacing w:after="0" w:line="240" w:lineRule="auto"/>
        <w:jc w:val="both"/>
      </w:pPr>
    </w:p>
    <w:p w14:paraId="76711762" w14:textId="77777777" w:rsidR="00936876" w:rsidRPr="00417A14" w:rsidRDefault="00936876" w:rsidP="00936876">
      <w:pPr>
        <w:autoSpaceDE w:val="0"/>
        <w:autoSpaceDN w:val="0"/>
        <w:adjustRightInd w:val="0"/>
        <w:spacing w:after="0" w:line="240" w:lineRule="auto"/>
        <w:jc w:val="both"/>
        <w:rPr>
          <w:rFonts w:ascii="Times New Roman" w:eastAsiaTheme="minorHAnsi" w:hAnsi="Times New Roman"/>
          <w:sz w:val="24"/>
          <w:szCs w:val="24"/>
        </w:rPr>
      </w:pPr>
    </w:p>
    <w:p w14:paraId="6B9AF898" w14:textId="77777777" w:rsidR="00936876" w:rsidRPr="00417A14" w:rsidRDefault="00936876" w:rsidP="00936876">
      <w:r w:rsidRPr="00417A14">
        <w:rPr>
          <w:noProof/>
        </w:rPr>
        <w:lastRenderedPageBreak/>
        <w:drawing>
          <wp:inline distT="0" distB="0" distL="0" distR="0" wp14:anchorId="6CA19A29" wp14:editId="0EA40E42">
            <wp:extent cx="4610100" cy="3038475"/>
            <wp:effectExtent l="0" t="0" r="0" b="0"/>
            <wp:docPr id="6" name="Chart 6">
              <a:extLst xmlns:a="http://schemas.openxmlformats.org/drawingml/2006/main">
                <a:ext uri="{FF2B5EF4-FFF2-40B4-BE49-F238E27FC236}">
                  <a16:creationId xmlns:a16="http://schemas.microsoft.com/office/drawing/2014/main" id="{74F45CD4-D0D8-480F-988F-734B74EE58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3FD1EF" w14:textId="62D63623" w:rsidR="00936876" w:rsidRPr="00417A14" w:rsidRDefault="00936876" w:rsidP="00936876">
      <w:pPr>
        <w:autoSpaceDE w:val="0"/>
        <w:autoSpaceDN w:val="0"/>
        <w:adjustRightInd w:val="0"/>
        <w:spacing w:after="0" w:line="240" w:lineRule="auto"/>
        <w:jc w:val="both"/>
        <w:rPr>
          <w:rFonts w:ascii="Times New Roman" w:eastAsiaTheme="minorHAnsi" w:hAnsi="Times New Roman"/>
          <w:sz w:val="24"/>
          <w:szCs w:val="24"/>
        </w:rPr>
      </w:pPr>
      <w:r w:rsidRPr="00417A14">
        <w:rPr>
          <w:rFonts w:ascii="Times New Roman" w:hAnsi="Times New Roman"/>
          <w:b/>
          <w:bCs/>
          <w:sz w:val="24"/>
          <w:szCs w:val="24"/>
        </w:rPr>
        <w:t xml:space="preserve">Figure </w:t>
      </w:r>
      <w:r w:rsidRPr="00417A14">
        <w:rPr>
          <w:b/>
          <w:bCs/>
        </w:rPr>
        <w:t>2</w:t>
      </w:r>
      <w:r w:rsidRPr="00417A14">
        <w:rPr>
          <w:rFonts w:ascii="Times New Roman" w:hAnsi="Times New Roman"/>
          <w:b/>
          <w:bCs/>
          <w:sz w:val="24"/>
          <w:szCs w:val="24"/>
        </w:rPr>
        <w:t xml:space="preserve">. </w:t>
      </w:r>
      <w:r w:rsidRPr="00417A14">
        <w:rPr>
          <w:b/>
          <w:bCs/>
        </w:rPr>
        <w:t>Biomass nitrogen, p</w:t>
      </w:r>
      <w:r w:rsidRPr="00417A14">
        <w:rPr>
          <w:rFonts w:ascii="Times New Roman" w:hAnsi="Times New Roman"/>
          <w:b/>
          <w:bCs/>
          <w:sz w:val="24"/>
          <w:szCs w:val="24"/>
        </w:rPr>
        <w:t>hosphorus</w:t>
      </w:r>
      <w:r w:rsidRPr="00417A14">
        <w:rPr>
          <w:b/>
          <w:bCs/>
        </w:rPr>
        <w:t xml:space="preserve"> and</w:t>
      </w:r>
      <w:r w:rsidRPr="00417A14">
        <w:rPr>
          <w:rFonts w:ascii="Times New Roman" w:hAnsi="Times New Roman"/>
          <w:b/>
          <w:bCs/>
          <w:sz w:val="24"/>
          <w:szCs w:val="24"/>
        </w:rPr>
        <w:t xml:space="preserve"> potassium uptake as influenced by fertilizer treatments in 2012 cropping season. </w:t>
      </w:r>
      <w:r w:rsidRPr="00417A14">
        <w:t>E</w:t>
      </w:r>
      <w:r w:rsidRPr="00417A14">
        <w:rPr>
          <w:rFonts w:ascii="Times New Roman" w:eastAsia="MinionPro-Regular" w:hAnsi="Times New Roman"/>
          <w:sz w:val="24"/>
          <w:szCs w:val="24"/>
        </w:rPr>
        <w:t xml:space="preserve">rror bars denote the standard error of the mean). Bars designated with the same letter are not significantly (P &lt; 0.05) different </w:t>
      </w:r>
      <w:r w:rsidRPr="00417A14">
        <w:rPr>
          <w:rFonts w:ascii="Times New Roman" w:eastAsiaTheme="minorHAnsi" w:hAnsi="Times New Roman"/>
          <w:sz w:val="24"/>
          <w:szCs w:val="24"/>
        </w:rPr>
        <w:t xml:space="preserve">according to </w:t>
      </w:r>
      <w:r w:rsidR="00587A53" w:rsidRPr="00417A14">
        <w:rPr>
          <w:rFonts w:ascii="Times New Roman" w:eastAsiaTheme="minorHAnsi" w:hAnsi="Times New Roman"/>
          <w:sz w:val="24"/>
          <w:szCs w:val="24"/>
        </w:rPr>
        <w:t xml:space="preserve">Fisher's </w:t>
      </w:r>
      <w:r w:rsidRPr="00417A14">
        <w:rPr>
          <w:rFonts w:ascii="Times New Roman" w:eastAsiaTheme="minorHAnsi" w:hAnsi="Times New Roman"/>
          <w:sz w:val="24"/>
          <w:szCs w:val="24"/>
        </w:rPr>
        <w:t>least significant difference method.</w:t>
      </w:r>
    </w:p>
    <w:p w14:paraId="32659B43" w14:textId="77777777" w:rsidR="00936876" w:rsidRPr="00417A14" w:rsidRDefault="00936876" w:rsidP="00936876">
      <w:pPr>
        <w:rPr>
          <w:b/>
          <w:bCs/>
          <w:lang w:val="en-AU"/>
        </w:rPr>
      </w:pPr>
    </w:p>
    <w:p w14:paraId="7F022038" w14:textId="77777777" w:rsidR="00936876" w:rsidRPr="00417A14" w:rsidRDefault="00936876" w:rsidP="00936876">
      <w:pPr>
        <w:rPr>
          <w:b/>
          <w:bCs/>
          <w:lang w:val="en-AU"/>
        </w:rPr>
      </w:pPr>
      <w:r w:rsidRPr="00417A14">
        <w:rPr>
          <w:rFonts w:ascii="Times New Roman" w:hAnsi="Times New Roman"/>
          <w:noProof/>
          <w:sz w:val="20"/>
          <w:szCs w:val="20"/>
        </w:rPr>
        <w:drawing>
          <wp:inline distT="0" distB="0" distL="0" distR="0" wp14:anchorId="46C3BB17" wp14:editId="5DED3546">
            <wp:extent cx="4572000" cy="2743200"/>
            <wp:effectExtent l="0" t="0" r="0" b="0"/>
            <wp:docPr id="3" name="Chart 3">
              <a:extLst xmlns:a="http://schemas.openxmlformats.org/drawingml/2006/main">
                <a:ext uri="{FF2B5EF4-FFF2-40B4-BE49-F238E27FC236}">
                  <a16:creationId xmlns:a16="http://schemas.microsoft.com/office/drawing/2014/main" id="{398E0FB2-5E3F-41F2-A6D5-D13A2C6BE8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9AFE1B" w14:textId="37453ED4" w:rsidR="00936876" w:rsidRPr="00417A14" w:rsidRDefault="00936876" w:rsidP="00936876">
      <w:pPr>
        <w:autoSpaceDE w:val="0"/>
        <w:autoSpaceDN w:val="0"/>
        <w:adjustRightInd w:val="0"/>
        <w:spacing w:after="0" w:line="240" w:lineRule="auto"/>
        <w:jc w:val="both"/>
        <w:rPr>
          <w:rFonts w:ascii="Times New Roman" w:eastAsiaTheme="minorHAnsi" w:hAnsi="Times New Roman"/>
          <w:sz w:val="24"/>
          <w:szCs w:val="24"/>
        </w:rPr>
      </w:pPr>
      <w:r w:rsidRPr="00417A14">
        <w:rPr>
          <w:rFonts w:ascii="Times New Roman" w:hAnsi="Times New Roman"/>
          <w:b/>
          <w:bCs/>
          <w:sz w:val="24"/>
          <w:szCs w:val="24"/>
        </w:rPr>
        <w:t xml:space="preserve">Figure </w:t>
      </w:r>
      <w:r w:rsidRPr="00417A14">
        <w:rPr>
          <w:b/>
          <w:bCs/>
        </w:rPr>
        <w:t>3</w:t>
      </w:r>
      <w:r w:rsidRPr="00417A14">
        <w:rPr>
          <w:rFonts w:ascii="Times New Roman" w:hAnsi="Times New Roman"/>
          <w:b/>
          <w:bCs/>
          <w:sz w:val="24"/>
          <w:szCs w:val="24"/>
        </w:rPr>
        <w:t>. Grain</w:t>
      </w:r>
      <w:r w:rsidRPr="00417A14">
        <w:rPr>
          <w:b/>
          <w:bCs/>
        </w:rPr>
        <w:t xml:space="preserve"> nitrogen, p</w:t>
      </w:r>
      <w:r w:rsidRPr="00417A14">
        <w:rPr>
          <w:rFonts w:ascii="Times New Roman" w:hAnsi="Times New Roman"/>
          <w:b/>
          <w:bCs/>
          <w:sz w:val="24"/>
          <w:szCs w:val="24"/>
        </w:rPr>
        <w:t>hosphorus</w:t>
      </w:r>
      <w:r w:rsidRPr="00417A14">
        <w:rPr>
          <w:b/>
          <w:bCs/>
        </w:rPr>
        <w:t xml:space="preserve"> and</w:t>
      </w:r>
      <w:r w:rsidRPr="00417A14">
        <w:rPr>
          <w:rFonts w:ascii="Times New Roman" w:hAnsi="Times New Roman"/>
          <w:b/>
          <w:bCs/>
          <w:sz w:val="24"/>
          <w:szCs w:val="24"/>
        </w:rPr>
        <w:t xml:space="preserve"> potassium uptake as influenced by fertilizer treatments in 2013 cropping season. </w:t>
      </w:r>
      <w:r w:rsidRPr="00417A14">
        <w:t>E</w:t>
      </w:r>
      <w:r w:rsidRPr="00417A14">
        <w:rPr>
          <w:rFonts w:ascii="Times New Roman" w:eastAsia="MinionPro-Regular" w:hAnsi="Times New Roman"/>
          <w:sz w:val="24"/>
          <w:szCs w:val="24"/>
        </w:rPr>
        <w:t xml:space="preserve">rror bars denote the standard error of the mean). Bars designated with the same letter(s) are not significantly (P &lt; 0.05) different </w:t>
      </w:r>
      <w:r w:rsidRPr="00417A14">
        <w:rPr>
          <w:rFonts w:ascii="Times New Roman" w:eastAsiaTheme="minorHAnsi" w:hAnsi="Times New Roman"/>
          <w:sz w:val="24"/>
          <w:szCs w:val="24"/>
        </w:rPr>
        <w:t xml:space="preserve">according to </w:t>
      </w:r>
      <w:r w:rsidR="00587A53" w:rsidRPr="00417A14">
        <w:rPr>
          <w:rFonts w:ascii="Times New Roman" w:eastAsiaTheme="minorHAnsi" w:hAnsi="Times New Roman"/>
          <w:sz w:val="24"/>
          <w:szCs w:val="24"/>
        </w:rPr>
        <w:t xml:space="preserve">Fisher's </w:t>
      </w:r>
      <w:r w:rsidRPr="00417A14">
        <w:rPr>
          <w:rFonts w:ascii="Times New Roman" w:eastAsiaTheme="minorHAnsi" w:hAnsi="Times New Roman"/>
          <w:sz w:val="24"/>
          <w:szCs w:val="24"/>
        </w:rPr>
        <w:t>least significant difference method.</w:t>
      </w:r>
    </w:p>
    <w:p w14:paraId="48130BBA" w14:textId="77777777" w:rsidR="00936876" w:rsidRPr="00417A14" w:rsidRDefault="00936876" w:rsidP="00936876">
      <w:pPr>
        <w:rPr>
          <w:b/>
          <w:bCs/>
          <w:lang w:val="en-AU"/>
        </w:rPr>
      </w:pPr>
    </w:p>
    <w:p w14:paraId="1DB5C812" w14:textId="77777777" w:rsidR="00936876" w:rsidRPr="00417A14" w:rsidRDefault="00936876" w:rsidP="00936876">
      <w:pPr>
        <w:rPr>
          <w:b/>
          <w:bCs/>
          <w:lang w:val="en-AU"/>
        </w:rPr>
      </w:pPr>
      <w:r w:rsidRPr="00417A14">
        <w:rPr>
          <w:rFonts w:ascii="Times New Roman" w:hAnsi="Times New Roman"/>
          <w:noProof/>
        </w:rPr>
        <w:lastRenderedPageBreak/>
        <w:drawing>
          <wp:inline distT="0" distB="0" distL="0" distR="0" wp14:anchorId="7021A90D" wp14:editId="565F43C5">
            <wp:extent cx="4572000" cy="2743200"/>
            <wp:effectExtent l="0" t="0" r="0" b="0"/>
            <wp:docPr id="4" name="Chart 4">
              <a:extLst xmlns:a="http://schemas.openxmlformats.org/drawingml/2006/main">
                <a:ext uri="{FF2B5EF4-FFF2-40B4-BE49-F238E27FC236}">
                  <a16:creationId xmlns:a16="http://schemas.microsoft.com/office/drawing/2014/main" id="{E95666A7-0F6B-4B29-9336-433078A9D2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C92AC9" w14:textId="05EB7EEF" w:rsidR="00936876" w:rsidRPr="00417A14" w:rsidRDefault="00936876" w:rsidP="00936876">
      <w:pPr>
        <w:autoSpaceDE w:val="0"/>
        <w:autoSpaceDN w:val="0"/>
        <w:adjustRightInd w:val="0"/>
        <w:spacing w:after="0" w:line="240" w:lineRule="auto"/>
        <w:jc w:val="both"/>
        <w:rPr>
          <w:rFonts w:ascii="Times New Roman" w:eastAsiaTheme="minorHAnsi" w:hAnsi="Times New Roman"/>
          <w:sz w:val="24"/>
          <w:szCs w:val="24"/>
        </w:rPr>
      </w:pPr>
      <w:r w:rsidRPr="00417A14">
        <w:rPr>
          <w:rFonts w:ascii="Times New Roman" w:hAnsi="Times New Roman"/>
          <w:b/>
          <w:bCs/>
          <w:sz w:val="24"/>
          <w:szCs w:val="24"/>
        </w:rPr>
        <w:t xml:space="preserve">Figure 4. Biomass nitrogen, phosphorus and potassium uptake as influenced by fertilizer treatments in 2013 cropping season. </w:t>
      </w:r>
      <w:r w:rsidRPr="00417A14">
        <w:rPr>
          <w:rFonts w:ascii="Times New Roman" w:hAnsi="Times New Roman"/>
          <w:sz w:val="24"/>
          <w:szCs w:val="24"/>
        </w:rPr>
        <w:t>E</w:t>
      </w:r>
      <w:r w:rsidRPr="00417A14">
        <w:rPr>
          <w:rFonts w:ascii="Times New Roman" w:eastAsia="MinionPro-Regular" w:hAnsi="Times New Roman"/>
          <w:sz w:val="24"/>
          <w:szCs w:val="24"/>
        </w:rPr>
        <w:t xml:space="preserve">rror bars denote the standard error of the mean. </w:t>
      </w:r>
      <w:r w:rsidR="00587A53" w:rsidRPr="00417A14">
        <w:rPr>
          <w:rFonts w:ascii="Times New Roman" w:eastAsia="MinionPro-Regular" w:hAnsi="Times New Roman"/>
          <w:sz w:val="24"/>
          <w:szCs w:val="24"/>
        </w:rPr>
        <w:t>According to Fisher's least significant difference method, bars designated with the same letter are not significantly (P &lt; 0.05) different</w:t>
      </w:r>
      <w:r w:rsidRPr="00417A14">
        <w:rPr>
          <w:rFonts w:ascii="Times New Roman" w:eastAsiaTheme="minorHAnsi" w:hAnsi="Times New Roman"/>
          <w:sz w:val="24"/>
          <w:szCs w:val="24"/>
        </w:rPr>
        <w:t>.</w:t>
      </w:r>
    </w:p>
    <w:p w14:paraId="7D7B4F76" w14:textId="77777777" w:rsidR="00936876" w:rsidRPr="00417A14" w:rsidRDefault="00936876" w:rsidP="00936876">
      <w:pPr>
        <w:rPr>
          <w:lang w:val="en-AU"/>
        </w:rPr>
      </w:pPr>
    </w:p>
    <w:bookmarkEnd w:id="15"/>
    <w:p w14:paraId="7EA45807" w14:textId="77777777" w:rsidR="00936876" w:rsidRPr="00417A14" w:rsidRDefault="00936876" w:rsidP="00936876">
      <w:pPr>
        <w:tabs>
          <w:tab w:val="right" w:pos="1053"/>
          <w:tab w:val="right" w:pos="2106"/>
          <w:tab w:val="right" w:pos="3159"/>
        </w:tabs>
        <w:autoSpaceDE w:val="0"/>
        <w:autoSpaceDN w:val="0"/>
        <w:adjustRightInd w:val="0"/>
        <w:spacing w:after="0" w:line="240" w:lineRule="auto"/>
        <w:rPr>
          <w:rFonts w:ascii="Arial" w:hAnsi="Arial" w:cs="Arial"/>
          <w:b/>
          <w:sz w:val="20"/>
          <w:szCs w:val="20"/>
          <w:lang w:val="en-GB"/>
        </w:rPr>
      </w:pPr>
    </w:p>
    <w:p w14:paraId="01D1EF9F" w14:textId="77777777" w:rsidR="00936876" w:rsidRPr="00417A14" w:rsidRDefault="00936876" w:rsidP="00936876">
      <w:pPr>
        <w:tabs>
          <w:tab w:val="right" w:pos="1053"/>
          <w:tab w:val="right" w:pos="2106"/>
          <w:tab w:val="right" w:pos="3159"/>
        </w:tabs>
        <w:autoSpaceDE w:val="0"/>
        <w:autoSpaceDN w:val="0"/>
        <w:adjustRightInd w:val="0"/>
        <w:spacing w:after="0" w:line="240" w:lineRule="auto"/>
        <w:rPr>
          <w:rFonts w:ascii="Arial" w:hAnsi="Arial" w:cs="Arial"/>
          <w:b/>
          <w:sz w:val="20"/>
          <w:szCs w:val="20"/>
          <w:lang w:val="en-GB"/>
        </w:rPr>
      </w:pPr>
    </w:p>
    <w:p w14:paraId="6DE2499A" w14:textId="77777777" w:rsidR="00936876" w:rsidRPr="00417A14" w:rsidRDefault="00936876" w:rsidP="00936876">
      <w:pPr>
        <w:tabs>
          <w:tab w:val="right" w:pos="1053"/>
          <w:tab w:val="right" w:pos="2106"/>
          <w:tab w:val="right" w:pos="3159"/>
        </w:tabs>
        <w:autoSpaceDE w:val="0"/>
        <w:autoSpaceDN w:val="0"/>
        <w:adjustRightInd w:val="0"/>
        <w:spacing w:after="0" w:line="240" w:lineRule="auto"/>
        <w:rPr>
          <w:rFonts w:ascii="Arial" w:hAnsi="Arial" w:cs="Arial"/>
          <w:b/>
          <w:sz w:val="20"/>
          <w:szCs w:val="20"/>
          <w:lang w:val="en-GB"/>
        </w:rPr>
      </w:pPr>
    </w:p>
    <w:p w14:paraId="1D2E848C" w14:textId="77777777" w:rsidR="00936876" w:rsidRPr="00417A14" w:rsidRDefault="00936876" w:rsidP="00936876">
      <w:pPr>
        <w:tabs>
          <w:tab w:val="right" w:pos="1053"/>
          <w:tab w:val="right" w:pos="2106"/>
          <w:tab w:val="right" w:pos="3159"/>
        </w:tabs>
        <w:autoSpaceDE w:val="0"/>
        <w:autoSpaceDN w:val="0"/>
        <w:adjustRightInd w:val="0"/>
        <w:spacing w:after="0" w:line="240" w:lineRule="auto"/>
        <w:rPr>
          <w:rFonts w:ascii="Arial" w:hAnsi="Arial" w:cs="Arial"/>
          <w:b/>
          <w:sz w:val="20"/>
          <w:szCs w:val="20"/>
          <w:lang w:val="en-GB"/>
        </w:rPr>
      </w:pPr>
    </w:p>
    <w:p w14:paraId="1C9FB31F" w14:textId="77777777" w:rsidR="00936876" w:rsidRPr="00417A14" w:rsidRDefault="00936876" w:rsidP="00936876">
      <w:pPr>
        <w:tabs>
          <w:tab w:val="left" w:pos="8130"/>
        </w:tabs>
        <w:spacing w:line="360" w:lineRule="auto"/>
        <w:jc w:val="both"/>
        <w:rPr>
          <w:rFonts w:ascii="Times New Roman" w:eastAsia="Times New Roman" w:hAnsi="Times New Roman"/>
          <w:sz w:val="24"/>
          <w:szCs w:val="24"/>
          <w:lang w:eastAsia="en-AU"/>
        </w:rPr>
      </w:pPr>
      <w:bookmarkStart w:id="16" w:name="_Hlk45506699"/>
      <w:bookmarkStart w:id="17" w:name="_Hlk45763402"/>
      <w:r w:rsidRPr="00417A14" w:rsidDel="006B5BAC">
        <w:rPr>
          <w:rFonts w:ascii="Times New Roman" w:hAnsi="Times New Roman"/>
          <w:b/>
          <w:sz w:val="24"/>
          <w:szCs w:val="24"/>
        </w:rPr>
        <w:t xml:space="preserve">Table </w:t>
      </w:r>
      <w:r w:rsidRPr="00417A14">
        <w:rPr>
          <w:rFonts w:ascii="Times New Roman" w:hAnsi="Times New Roman"/>
          <w:b/>
          <w:sz w:val="24"/>
          <w:szCs w:val="24"/>
        </w:rPr>
        <w:t>6</w:t>
      </w:r>
      <w:r w:rsidRPr="00417A14" w:rsidDel="006B5BAC">
        <w:rPr>
          <w:rFonts w:ascii="Times New Roman" w:hAnsi="Times New Roman"/>
          <w:sz w:val="24"/>
          <w:szCs w:val="24"/>
        </w:rPr>
        <w:t xml:space="preserve">. </w:t>
      </w:r>
      <w:r w:rsidRPr="00417A14">
        <w:rPr>
          <w:rFonts w:ascii="Times New Roman" w:hAnsi="Times New Roman"/>
          <w:sz w:val="24"/>
          <w:szCs w:val="24"/>
        </w:rPr>
        <w:t>E</w:t>
      </w:r>
      <w:r w:rsidRPr="00417A14" w:rsidDel="008A54AA">
        <w:rPr>
          <w:rFonts w:ascii="Times New Roman" w:hAnsi="Times New Roman"/>
          <w:b/>
          <w:sz w:val="24"/>
          <w:szCs w:val="24"/>
        </w:rPr>
        <w:t xml:space="preserve">ffects of </w:t>
      </w:r>
      <w:r w:rsidRPr="00417A14">
        <w:rPr>
          <w:rFonts w:ascii="Times New Roman" w:hAnsi="Times New Roman"/>
          <w:b/>
          <w:sz w:val="24"/>
          <w:szCs w:val="24"/>
        </w:rPr>
        <w:t>cropping season</w:t>
      </w:r>
      <w:r w:rsidRPr="00417A14" w:rsidDel="008A54AA">
        <w:rPr>
          <w:rFonts w:ascii="Times New Roman" w:hAnsi="Times New Roman"/>
          <w:b/>
          <w:sz w:val="24"/>
          <w:szCs w:val="24"/>
        </w:rPr>
        <w:t xml:space="preserve"> (2012 and 2013) on the </w:t>
      </w:r>
      <w:r w:rsidRPr="00417A14">
        <w:rPr>
          <w:rFonts w:ascii="Times New Roman" w:hAnsi="Times New Roman"/>
          <w:b/>
          <w:sz w:val="24"/>
          <w:szCs w:val="24"/>
        </w:rPr>
        <w:t xml:space="preserve">nutrient uptake of </w:t>
      </w:r>
      <w:r w:rsidRPr="00417A14" w:rsidDel="008A54AA">
        <w:rPr>
          <w:rFonts w:ascii="Times New Roman" w:hAnsi="Times New Roman"/>
          <w:b/>
          <w:sz w:val="24"/>
          <w:szCs w:val="24"/>
        </w:rPr>
        <w:t>cowpea</w:t>
      </w:r>
      <w:r w:rsidRPr="00417A14">
        <w:rPr>
          <w:rFonts w:ascii="Times New Roman" w:hAnsi="Times New Roman"/>
          <w:b/>
          <w:sz w:val="24"/>
          <w:szCs w:val="24"/>
        </w:rPr>
        <w:t xml:space="preserve"> biomass and grain</w:t>
      </w:r>
      <w:r w:rsidRPr="00417A14" w:rsidDel="008A54AA">
        <w:rPr>
          <w:rFonts w:ascii="Times New Roman" w:hAnsi="Times New Roman"/>
          <w:b/>
          <w:sz w:val="24"/>
          <w:szCs w:val="24"/>
        </w:rPr>
        <w:t xml:space="preserve"> to fertilizer rates at Nyoli.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1255"/>
        <w:gridCol w:w="1255"/>
        <w:gridCol w:w="1255"/>
        <w:gridCol w:w="1238"/>
        <w:gridCol w:w="1212"/>
        <w:gridCol w:w="1277"/>
      </w:tblGrid>
      <w:tr w:rsidR="00417A14" w:rsidRPr="00417A14" w14:paraId="4A977F39" w14:textId="77777777" w:rsidTr="007D5662">
        <w:tc>
          <w:tcPr>
            <w:tcW w:w="1320" w:type="dxa"/>
            <w:tcBorders>
              <w:top w:val="single" w:sz="4" w:space="0" w:color="auto"/>
              <w:bottom w:val="single" w:sz="4" w:space="0" w:color="auto"/>
            </w:tcBorders>
          </w:tcPr>
          <w:p w14:paraId="35A771F2"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Cropping Season</w:t>
            </w:r>
          </w:p>
        </w:tc>
        <w:tc>
          <w:tcPr>
            <w:tcW w:w="1320" w:type="dxa"/>
            <w:tcBorders>
              <w:top w:val="single" w:sz="4" w:space="0" w:color="auto"/>
              <w:bottom w:val="single" w:sz="4" w:space="0" w:color="auto"/>
            </w:tcBorders>
          </w:tcPr>
          <w:p w14:paraId="73CB27E7"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Biomass N uptake</w:t>
            </w:r>
          </w:p>
        </w:tc>
        <w:tc>
          <w:tcPr>
            <w:tcW w:w="1320" w:type="dxa"/>
            <w:tcBorders>
              <w:top w:val="single" w:sz="4" w:space="0" w:color="auto"/>
              <w:bottom w:val="single" w:sz="4" w:space="0" w:color="auto"/>
            </w:tcBorders>
          </w:tcPr>
          <w:p w14:paraId="53C6C4B3"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Biomass P uptake</w:t>
            </w:r>
          </w:p>
        </w:tc>
        <w:tc>
          <w:tcPr>
            <w:tcW w:w="1320" w:type="dxa"/>
            <w:tcBorders>
              <w:top w:val="single" w:sz="4" w:space="0" w:color="auto"/>
              <w:bottom w:val="single" w:sz="4" w:space="0" w:color="auto"/>
            </w:tcBorders>
          </w:tcPr>
          <w:p w14:paraId="0B74E391"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Biomass K uptake</w:t>
            </w:r>
          </w:p>
        </w:tc>
        <w:tc>
          <w:tcPr>
            <w:tcW w:w="1320" w:type="dxa"/>
            <w:tcBorders>
              <w:top w:val="single" w:sz="4" w:space="0" w:color="auto"/>
              <w:bottom w:val="single" w:sz="4" w:space="0" w:color="auto"/>
            </w:tcBorders>
          </w:tcPr>
          <w:p w14:paraId="1E4AF1AB"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Grain N uptake</w:t>
            </w:r>
          </w:p>
        </w:tc>
        <w:tc>
          <w:tcPr>
            <w:tcW w:w="1321" w:type="dxa"/>
            <w:tcBorders>
              <w:top w:val="single" w:sz="4" w:space="0" w:color="auto"/>
              <w:bottom w:val="single" w:sz="4" w:space="0" w:color="auto"/>
            </w:tcBorders>
          </w:tcPr>
          <w:p w14:paraId="3C25E53E"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Grain P uptake</w:t>
            </w:r>
          </w:p>
        </w:tc>
        <w:tc>
          <w:tcPr>
            <w:tcW w:w="1321" w:type="dxa"/>
            <w:tcBorders>
              <w:top w:val="single" w:sz="4" w:space="0" w:color="auto"/>
              <w:bottom w:val="single" w:sz="4" w:space="0" w:color="auto"/>
            </w:tcBorders>
          </w:tcPr>
          <w:p w14:paraId="14D8573D"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Grain K uptake</w:t>
            </w:r>
          </w:p>
        </w:tc>
      </w:tr>
      <w:tr w:rsidR="00417A14" w:rsidRPr="00417A14" w14:paraId="34A812D8" w14:textId="77777777" w:rsidTr="007D5662">
        <w:tc>
          <w:tcPr>
            <w:tcW w:w="1320" w:type="dxa"/>
            <w:tcBorders>
              <w:top w:val="single" w:sz="4" w:space="0" w:color="auto"/>
            </w:tcBorders>
          </w:tcPr>
          <w:p w14:paraId="30F89329"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2012</w:t>
            </w:r>
          </w:p>
        </w:tc>
        <w:tc>
          <w:tcPr>
            <w:tcW w:w="1320" w:type="dxa"/>
            <w:tcBorders>
              <w:top w:val="single" w:sz="4" w:space="0" w:color="auto"/>
            </w:tcBorders>
          </w:tcPr>
          <w:p w14:paraId="4B32637C"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5.42a</w:t>
            </w:r>
          </w:p>
        </w:tc>
        <w:tc>
          <w:tcPr>
            <w:tcW w:w="1320" w:type="dxa"/>
            <w:tcBorders>
              <w:top w:val="single" w:sz="4" w:space="0" w:color="auto"/>
            </w:tcBorders>
          </w:tcPr>
          <w:p w14:paraId="671F72D9"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0.98a</w:t>
            </w:r>
          </w:p>
        </w:tc>
        <w:tc>
          <w:tcPr>
            <w:tcW w:w="1320" w:type="dxa"/>
            <w:tcBorders>
              <w:top w:val="single" w:sz="4" w:space="0" w:color="auto"/>
            </w:tcBorders>
          </w:tcPr>
          <w:p w14:paraId="3C85D0C4"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3.01a</w:t>
            </w:r>
          </w:p>
        </w:tc>
        <w:tc>
          <w:tcPr>
            <w:tcW w:w="1320" w:type="dxa"/>
            <w:tcBorders>
              <w:top w:val="single" w:sz="4" w:space="0" w:color="auto"/>
            </w:tcBorders>
          </w:tcPr>
          <w:p w14:paraId="74A6B230"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4.46a</w:t>
            </w:r>
          </w:p>
        </w:tc>
        <w:tc>
          <w:tcPr>
            <w:tcW w:w="1321" w:type="dxa"/>
            <w:tcBorders>
              <w:top w:val="single" w:sz="4" w:space="0" w:color="auto"/>
            </w:tcBorders>
          </w:tcPr>
          <w:p w14:paraId="3A0EC41D"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0.52a</w:t>
            </w:r>
          </w:p>
        </w:tc>
        <w:tc>
          <w:tcPr>
            <w:tcW w:w="1321" w:type="dxa"/>
            <w:tcBorders>
              <w:top w:val="single" w:sz="4" w:space="0" w:color="auto"/>
            </w:tcBorders>
          </w:tcPr>
          <w:p w14:paraId="63865CEE"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2.32a</w:t>
            </w:r>
          </w:p>
        </w:tc>
      </w:tr>
      <w:tr w:rsidR="00417A14" w:rsidRPr="00417A14" w14:paraId="7B78ADA5" w14:textId="77777777" w:rsidTr="007D5662">
        <w:tc>
          <w:tcPr>
            <w:tcW w:w="1320" w:type="dxa"/>
          </w:tcPr>
          <w:p w14:paraId="2EE7B007"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2013</w:t>
            </w:r>
          </w:p>
        </w:tc>
        <w:tc>
          <w:tcPr>
            <w:tcW w:w="1320" w:type="dxa"/>
          </w:tcPr>
          <w:p w14:paraId="0958C1EE"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5.45a</w:t>
            </w:r>
          </w:p>
        </w:tc>
        <w:tc>
          <w:tcPr>
            <w:tcW w:w="1320" w:type="dxa"/>
          </w:tcPr>
          <w:p w14:paraId="2D148295"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0.98a</w:t>
            </w:r>
          </w:p>
        </w:tc>
        <w:tc>
          <w:tcPr>
            <w:tcW w:w="1320" w:type="dxa"/>
          </w:tcPr>
          <w:p w14:paraId="06E24DAC"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3.35a</w:t>
            </w:r>
          </w:p>
        </w:tc>
        <w:tc>
          <w:tcPr>
            <w:tcW w:w="1320" w:type="dxa"/>
          </w:tcPr>
          <w:p w14:paraId="32CA7429"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4.84a</w:t>
            </w:r>
          </w:p>
        </w:tc>
        <w:tc>
          <w:tcPr>
            <w:tcW w:w="1321" w:type="dxa"/>
          </w:tcPr>
          <w:p w14:paraId="1BD716F9"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0.51a</w:t>
            </w:r>
          </w:p>
        </w:tc>
        <w:tc>
          <w:tcPr>
            <w:tcW w:w="1321" w:type="dxa"/>
          </w:tcPr>
          <w:p w14:paraId="25990C46"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3.20b</w:t>
            </w:r>
          </w:p>
        </w:tc>
      </w:tr>
      <w:tr w:rsidR="00417A14" w:rsidRPr="00417A14" w14:paraId="72130801" w14:textId="77777777" w:rsidTr="007D5662">
        <w:tc>
          <w:tcPr>
            <w:tcW w:w="1320" w:type="dxa"/>
            <w:tcBorders>
              <w:bottom w:val="single" w:sz="4" w:space="0" w:color="auto"/>
            </w:tcBorders>
          </w:tcPr>
          <w:p w14:paraId="5FAA9970" w14:textId="77777777" w:rsidR="00936876" w:rsidRPr="00417A14" w:rsidRDefault="00936876" w:rsidP="007D5662">
            <w:pPr>
              <w:spacing w:line="360" w:lineRule="auto"/>
              <w:jc w:val="center"/>
              <w:rPr>
                <w:rFonts w:ascii="Times New Roman" w:hAnsi="Times New Roman" w:cs="Times New Roman"/>
                <w:sz w:val="24"/>
                <w:szCs w:val="24"/>
              </w:rPr>
            </w:pPr>
            <w:proofErr w:type="spellStart"/>
            <w:r w:rsidRPr="00417A14">
              <w:rPr>
                <w:rFonts w:ascii="Times New Roman" w:hAnsi="Times New Roman" w:cs="Times New Roman"/>
                <w:sz w:val="24"/>
                <w:szCs w:val="24"/>
              </w:rPr>
              <w:t>Fpr</w:t>
            </w:r>
            <w:proofErr w:type="spellEnd"/>
          </w:p>
        </w:tc>
        <w:tc>
          <w:tcPr>
            <w:tcW w:w="1320" w:type="dxa"/>
            <w:tcBorders>
              <w:bottom w:val="single" w:sz="4" w:space="0" w:color="auto"/>
            </w:tcBorders>
          </w:tcPr>
          <w:p w14:paraId="2ECD3954"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0.95ns</w:t>
            </w:r>
          </w:p>
        </w:tc>
        <w:tc>
          <w:tcPr>
            <w:tcW w:w="1320" w:type="dxa"/>
            <w:tcBorders>
              <w:bottom w:val="single" w:sz="4" w:space="0" w:color="auto"/>
            </w:tcBorders>
          </w:tcPr>
          <w:p w14:paraId="121D049D"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0.96ns</w:t>
            </w:r>
          </w:p>
        </w:tc>
        <w:tc>
          <w:tcPr>
            <w:tcW w:w="1320" w:type="dxa"/>
            <w:tcBorders>
              <w:bottom w:val="single" w:sz="4" w:space="0" w:color="auto"/>
            </w:tcBorders>
          </w:tcPr>
          <w:p w14:paraId="7E46BE3E"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0.44ns</w:t>
            </w:r>
          </w:p>
        </w:tc>
        <w:tc>
          <w:tcPr>
            <w:tcW w:w="1320" w:type="dxa"/>
            <w:tcBorders>
              <w:bottom w:val="single" w:sz="4" w:space="0" w:color="auto"/>
            </w:tcBorders>
          </w:tcPr>
          <w:p w14:paraId="7AFD4E1A"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0.845ns</w:t>
            </w:r>
          </w:p>
        </w:tc>
        <w:tc>
          <w:tcPr>
            <w:tcW w:w="1321" w:type="dxa"/>
            <w:tcBorders>
              <w:bottom w:val="single" w:sz="4" w:space="0" w:color="auto"/>
            </w:tcBorders>
          </w:tcPr>
          <w:p w14:paraId="62AA25C4"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0.28ns</w:t>
            </w:r>
          </w:p>
        </w:tc>
        <w:tc>
          <w:tcPr>
            <w:tcW w:w="1321" w:type="dxa"/>
            <w:tcBorders>
              <w:bottom w:val="single" w:sz="4" w:space="0" w:color="auto"/>
            </w:tcBorders>
          </w:tcPr>
          <w:p w14:paraId="3477C6D1" w14:textId="77777777" w:rsidR="00936876" w:rsidRPr="00417A14" w:rsidRDefault="00936876" w:rsidP="007D5662">
            <w:pPr>
              <w:spacing w:line="360" w:lineRule="auto"/>
              <w:jc w:val="center"/>
              <w:rPr>
                <w:rFonts w:ascii="Times New Roman" w:hAnsi="Times New Roman" w:cs="Times New Roman"/>
                <w:sz w:val="24"/>
                <w:szCs w:val="24"/>
              </w:rPr>
            </w:pPr>
            <w:r w:rsidRPr="00417A14">
              <w:rPr>
                <w:rFonts w:ascii="Times New Roman" w:hAnsi="Times New Roman" w:cs="Times New Roman"/>
                <w:sz w:val="24"/>
                <w:szCs w:val="24"/>
              </w:rPr>
              <w:t>&lt;0.001**</w:t>
            </w:r>
          </w:p>
        </w:tc>
      </w:tr>
    </w:tbl>
    <w:bookmarkEnd w:id="16"/>
    <w:p w14:paraId="5F270486" w14:textId="7ED93D8A" w:rsidR="00936876" w:rsidRPr="00417A14" w:rsidRDefault="00936876" w:rsidP="00936876">
      <w:pPr>
        <w:autoSpaceDE w:val="0"/>
        <w:autoSpaceDN w:val="0"/>
        <w:adjustRightInd w:val="0"/>
        <w:spacing w:line="240" w:lineRule="auto"/>
        <w:jc w:val="both"/>
        <w:rPr>
          <w:rFonts w:ascii="Times New Roman" w:hAnsi="Times New Roman"/>
          <w:sz w:val="24"/>
          <w:szCs w:val="24"/>
          <w:lang w:val="en-AU"/>
        </w:rPr>
      </w:pPr>
      <w:r w:rsidRPr="00417A14">
        <w:rPr>
          <w:rFonts w:ascii="Times New Roman" w:hAnsi="Times New Roman"/>
          <w:sz w:val="24"/>
          <w:szCs w:val="24"/>
          <w:lang w:val="en-AU"/>
        </w:rPr>
        <w:t>F.pr – F probability,</w:t>
      </w:r>
      <w:r w:rsidRPr="00417A14">
        <w:rPr>
          <w:rFonts w:ascii="Times New Roman" w:hAnsi="Times New Roman"/>
          <w:sz w:val="24"/>
          <w:szCs w:val="24"/>
        </w:rPr>
        <w:t xml:space="preserve"> ** - highly significant</w:t>
      </w:r>
      <w:r w:rsidRPr="00417A14">
        <w:rPr>
          <w:rFonts w:ascii="Times New Roman" w:hAnsi="Times New Roman"/>
          <w:sz w:val="24"/>
          <w:szCs w:val="24"/>
          <w:lang w:val="en-AU"/>
        </w:rPr>
        <w:t xml:space="preserve"> at 5%, </w:t>
      </w:r>
      <w:r w:rsidRPr="00417A14">
        <w:rPr>
          <w:rFonts w:ascii="Times New Roman" w:hAnsi="Times New Roman"/>
          <w:sz w:val="24"/>
          <w:szCs w:val="24"/>
        </w:rPr>
        <w:t>ns</w:t>
      </w:r>
      <w:r w:rsidRPr="00417A14">
        <w:rPr>
          <w:rFonts w:ascii="Times New Roman" w:hAnsi="Times New Roman"/>
          <w:sz w:val="24"/>
          <w:szCs w:val="24"/>
          <w:lang w:val="en-AU"/>
        </w:rPr>
        <w:t xml:space="preserve"> – not significant at 5%, data designated with the same letter(s) are not significantly (P &lt; 0.05) different according to </w:t>
      </w:r>
      <w:r w:rsidR="00587A53" w:rsidRPr="00417A14">
        <w:rPr>
          <w:rFonts w:ascii="Times New Roman" w:hAnsi="Times New Roman"/>
          <w:sz w:val="24"/>
          <w:szCs w:val="24"/>
          <w:lang w:val="en-AU"/>
        </w:rPr>
        <w:t xml:space="preserve">Fisher's </w:t>
      </w:r>
      <w:r w:rsidRPr="00417A14">
        <w:rPr>
          <w:rFonts w:ascii="Times New Roman" w:hAnsi="Times New Roman"/>
          <w:sz w:val="24"/>
          <w:szCs w:val="24"/>
          <w:lang w:val="en-AU"/>
        </w:rPr>
        <w:t>least significant difference method.</w:t>
      </w:r>
    </w:p>
    <w:p w14:paraId="76E573C0" w14:textId="77777777" w:rsidR="00936876" w:rsidRPr="00417A14" w:rsidRDefault="00936876" w:rsidP="00936876">
      <w:pPr>
        <w:pStyle w:val="Heading2"/>
        <w:spacing w:line="480" w:lineRule="auto"/>
        <w:jc w:val="both"/>
        <w:rPr>
          <w:rFonts w:cs="Times New Roman"/>
          <w:szCs w:val="24"/>
        </w:rPr>
      </w:pPr>
      <w:bookmarkStart w:id="18" w:name="_Hlk45508161"/>
      <w:bookmarkEnd w:id="17"/>
      <w:r w:rsidRPr="00417A14">
        <w:rPr>
          <w:rFonts w:cs="Times New Roman"/>
          <w:szCs w:val="24"/>
        </w:rPr>
        <w:t>Soil Chemical Properties</w:t>
      </w:r>
    </w:p>
    <w:p w14:paraId="5B967C3E" w14:textId="0B515C36" w:rsidR="00936876" w:rsidRPr="00417A14" w:rsidRDefault="00936876" w:rsidP="00936876">
      <w:pPr>
        <w:spacing w:line="480" w:lineRule="auto"/>
        <w:jc w:val="both"/>
        <w:rPr>
          <w:rFonts w:ascii="Times New Roman" w:hAnsi="Times New Roman"/>
          <w:sz w:val="24"/>
          <w:szCs w:val="24"/>
        </w:rPr>
      </w:pPr>
      <w:r w:rsidRPr="00417A14">
        <w:rPr>
          <w:rFonts w:ascii="Times New Roman" w:hAnsi="Times New Roman"/>
          <w:sz w:val="24"/>
          <w:szCs w:val="24"/>
        </w:rPr>
        <w:t>The s</w:t>
      </w:r>
      <w:r w:rsidR="00587A53" w:rsidRPr="00417A14">
        <w:rPr>
          <w:rFonts w:ascii="Times New Roman" w:hAnsi="Times New Roman"/>
          <w:sz w:val="24"/>
          <w:szCs w:val="24"/>
        </w:rPr>
        <w:t>oil's selected chemical properties</w:t>
      </w:r>
      <w:r w:rsidRPr="00417A14">
        <w:rPr>
          <w:rFonts w:ascii="Times New Roman" w:hAnsi="Times New Roman"/>
          <w:sz w:val="24"/>
          <w:szCs w:val="24"/>
        </w:rPr>
        <w:t xml:space="preserve"> at the end of the field study (Table 7) indicated that Total N content ranged from 0.5 to 0.7(%) whilst available P dropped from the initial level of 16.98 mg/kg under all fertilizer application rates. Soil available P contents were higher in all the fertilizer treatments than the control. </w:t>
      </w:r>
    </w:p>
    <w:p w14:paraId="37293B27" w14:textId="77777777" w:rsidR="00936876" w:rsidRPr="00417A14" w:rsidRDefault="00936876" w:rsidP="00936876">
      <w:pPr>
        <w:tabs>
          <w:tab w:val="right" w:pos="1170"/>
          <w:tab w:val="right" w:pos="2691"/>
          <w:tab w:val="right" w:pos="4212"/>
          <w:tab w:val="right" w:pos="5733"/>
          <w:tab w:val="right" w:pos="7254"/>
          <w:tab w:val="right" w:pos="8775"/>
        </w:tabs>
        <w:autoSpaceDE w:val="0"/>
        <w:autoSpaceDN w:val="0"/>
        <w:adjustRightInd w:val="0"/>
        <w:spacing w:after="0" w:line="240" w:lineRule="auto"/>
        <w:rPr>
          <w:rFonts w:ascii="Times New Roman" w:hAnsi="Times New Roman"/>
          <w:b/>
          <w:sz w:val="24"/>
          <w:szCs w:val="24"/>
        </w:rPr>
      </w:pPr>
      <w:bookmarkStart w:id="19" w:name="_Hlk45244233"/>
      <w:bookmarkStart w:id="20" w:name="_Hlk45763429"/>
      <w:bookmarkEnd w:id="18"/>
      <w:r w:rsidRPr="00417A14">
        <w:rPr>
          <w:rFonts w:ascii="Times New Roman" w:hAnsi="Times New Roman"/>
          <w:b/>
          <w:sz w:val="24"/>
          <w:szCs w:val="24"/>
        </w:rPr>
        <w:lastRenderedPageBreak/>
        <w:t>Table 7</w:t>
      </w:r>
      <w:r w:rsidRPr="00417A14" w:rsidDel="008A54AA">
        <w:rPr>
          <w:rFonts w:ascii="Times New Roman" w:hAnsi="Times New Roman"/>
          <w:b/>
          <w:sz w:val="24"/>
          <w:szCs w:val="24"/>
        </w:rPr>
        <w:t>. Selected soil chemical properties as affected by Fertilizer rates after cowpea harvest.</w:t>
      </w:r>
    </w:p>
    <w:p w14:paraId="43CF1ED6" w14:textId="77777777" w:rsidR="00936876" w:rsidRPr="00417A14" w:rsidRDefault="00936876" w:rsidP="00936876">
      <w:pPr>
        <w:tabs>
          <w:tab w:val="right" w:pos="1170"/>
          <w:tab w:val="right" w:pos="2691"/>
          <w:tab w:val="right" w:pos="4212"/>
          <w:tab w:val="right" w:pos="5733"/>
          <w:tab w:val="right" w:pos="7254"/>
          <w:tab w:val="right" w:pos="8775"/>
        </w:tabs>
        <w:autoSpaceDE w:val="0"/>
        <w:autoSpaceDN w:val="0"/>
        <w:adjustRightInd w:val="0"/>
        <w:spacing w:after="0" w:line="240" w:lineRule="auto"/>
        <w:rPr>
          <w:rFonts w:ascii="Times New Roman" w:hAnsi="Times New Roman"/>
          <w:sz w:val="24"/>
          <w:szCs w:val="24"/>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134"/>
        <w:gridCol w:w="1275"/>
        <w:gridCol w:w="1134"/>
        <w:gridCol w:w="1276"/>
        <w:gridCol w:w="1134"/>
        <w:gridCol w:w="1418"/>
      </w:tblGrid>
      <w:tr w:rsidR="00417A14" w:rsidRPr="00417A14" w14:paraId="4C542E8B" w14:textId="77777777" w:rsidTr="007D5662">
        <w:trPr>
          <w:trHeight w:val="289"/>
        </w:trPr>
        <w:tc>
          <w:tcPr>
            <w:tcW w:w="1668" w:type="dxa"/>
            <w:tcBorders>
              <w:top w:val="single" w:sz="4" w:space="0" w:color="auto"/>
              <w:bottom w:val="nil"/>
            </w:tcBorders>
          </w:tcPr>
          <w:p w14:paraId="7BDEBF25" w14:textId="77777777" w:rsidR="00936876" w:rsidRPr="00417A14" w:rsidRDefault="00936876" w:rsidP="007D5662">
            <w:pPr>
              <w:spacing w:line="360" w:lineRule="auto"/>
              <w:rPr>
                <w:rFonts w:ascii="Times New Roman" w:hAnsi="Times New Roman" w:cs="Times New Roman"/>
                <w:sz w:val="24"/>
                <w:szCs w:val="24"/>
              </w:rPr>
            </w:pPr>
            <w:bookmarkStart w:id="21" w:name="_Hlk45508263"/>
            <w:r w:rsidRPr="00417A14">
              <w:rPr>
                <w:rFonts w:ascii="Times New Roman" w:hAnsi="Times New Roman" w:cs="Times New Roman"/>
                <w:sz w:val="24"/>
                <w:szCs w:val="24"/>
              </w:rPr>
              <w:t>Treatment</w:t>
            </w:r>
          </w:p>
        </w:tc>
        <w:tc>
          <w:tcPr>
            <w:tcW w:w="1134" w:type="dxa"/>
            <w:tcBorders>
              <w:top w:val="single" w:sz="4" w:space="0" w:color="auto"/>
              <w:bottom w:val="nil"/>
            </w:tcBorders>
          </w:tcPr>
          <w:p w14:paraId="2B57F29E"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N</w:t>
            </w:r>
          </w:p>
        </w:tc>
        <w:tc>
          <w:tcPr>
            <w:tcW w:w="1275" w:type="dxa"/>
            <w:tcBorders>
              <w:top w:val="single" w:sz="4" w:space="0" w:color="auto"/>
              <w:bottom w:val="nil"/>
            </w:tcBorders>
          </w:tcPr>
          <w:p w14:paraId="68035AC2"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P</w:t>
            </w:r>
          </w:p>
        </w:tc>
        <w:tc>
          <w:tcPr>
            <w:tcW w:w="1134" w:type="dxa"/>
            <w:tcBorders>
              <w:top w:val="single" w:sz="4" w:space="0" w:color="auto"/>
              <w:bottom w:val="nil"/>
            </w:tcBorders>
          </w:tcPr>
          <w:p w14:paraId="63BDA9A1"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K</w:t>
            </w:r>
          </w:p>
        </w:tc>
        <w:tc>
          <w:tcPr>
            <w:tcW w:w="1276" w:type="dxa"/>
            <w:tcBorders>
              <w:top w:val="single" w:sz="4" w:space="0" w:color="auto"/>
              <w:bottom w:val="nil"/>
            </w:tcBorders>
          </w:tcPr>
          <w:p w14:paraId="7E216791"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Ca</w:t>
            </w:r>
          </w:p>
        </w:tc>
        <w:tc>
          <w:tcPr>
            <w:tcW w:w="1134" w:type="dxa"/>
            <w:tcBorders>
              <w:top w:val="single" w:sz="4" w:space="0" w:color="auto"/>
              <w:bottom w:val="nil"/>
            </w:tcBorders>
          </w:tcPr>
          <w:p w14:paraId="628F1CF6"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Mg</w:t>
            </w:r>
          </w:p>
        </w:tc>
        <w:tc>
          <w:tcPr>
            <w:tcW w:w="1418" w:type="dxa"/>
            <w:tcBorders>
              <w:top w:val="single" w:sz="4" w:space="0" w:color="auto"/>
              <w:bottom w:val="nil"/>
            </w:tcBorders>
          </w:tcPr>
          <w:p w14:paraId="2756E9CD"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Na</w:t>
            </w:r>
          </w:p>
        </w:tc>
      </w:tr>
      <w:tr w:rsidR="00417A14" w:rsidRPr="00417A14" w14:paraId="3195562A" w14:textId="77777777" w:rsidTr="007D5662">
        <w:trPr>
          <w:trHeight w:val="299"/>
        </w:trPr>
        <w:tc>
          <w:tcPr>
            <w:tcW w:w="1668" w:type="dxa"/>
            <w:tcBorders>
              <w:top w:val="nil"/>
              <w:bottom w:val="single" w:sz="4" w:space="0" w:color="auto"/>
            </w:tcBorders>
          </w:tcPr>
          <w:p w14:paraId="548A78DD" w14:textId="77777777" w:rsidR="00936876" w:rsidRPr="00417A14" w:rsidRDefault="00936876" w:rsidP="007D5662">
            <w:pPr>
              <w:spacing w:line="360" w:lineRule="auto"/>
              <w:rPr>
                <w:rFonts w:ascii="Times New Roman" w:hAnsi="Times New Roman" w:cs="Times New Roman"/>
                <w:sz w:val="24"/>
                <w:szCs w:val="24"/>
              </w:rPr>
            </w:pPr>
          </w:p>
        </w:tc>
        <w:tc>
          <w:tcPr>
            <w:tcW w:w="1134" w:type="dxa"/>
            <w:tcBorders>
              <w:top w:val="nil"/>
              <w:bottom w:val="single" w:sz="4" w:space="0" w:color="auto"/>
            </w:tcBorders>
          </w:tcPr>
          <w:p w14:paraId="5F4BA57A"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w:t>
            </w:r>
          </w:p>
        </w:tc>
        <w:tc>
          <w:tcPr>
            <w:tcW w:w="1275" w:type="dxa"/>
            <w:tcBorders>
              <w:top w:val="nil"/>
              <w:bottom w:val="single" w:sz="4" w:space="0" w:color="auto"/>
            </w:tcBorders>
          </w:tcPr>
          <w:p w14:paraId="74182870"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(mg/kg)</w:t>
            </w:r>
          </w:p>
        </w:tc>
        <w:tc>
          <w:tcPr>
            <w:tcW w:w="4962" w:type="dxa"/>
            <w:gridSpan w:val="4"/>
            <w:tcBorders>
              <w:top w:val="nil"/>
              <w:bottom w:val="single" w:sz="4" w:space="0" w:color="auto"/>
            </w:tcBorders>
          </w:tcPr>
          <w:p w14:paraId="5DD438D6"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FB7B3B6" wp14:editId="65760A1B">
                      <wp:simplePos x="0" y="0"/>
                      <wp:positionH relativeFrom="column">
                        <wp:posOffset>1583055</wp:posOffset>
                      </wp:positionH>
                      <wp:positionV relativeFrom="paragraph">
                        <wp:posOffset>95885</wp:posOffset>
                      </wp:positionV>
                      <wp:extent cx="8477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D3F3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65pt,7.55pt" to="191.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" strokecolor="black [3213]"/>
                  </w:pict>
                </mc:Fallback>
              </mc:AlternateContent>
            </w:r>
            <w:r w:rsidRPr="00417A14">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C6EA876" wp14:editId="3C41C455">
                      <wp:simplePos x="0" y="0"/>
                      <wp:positionH relativeFrom="column">
                        <wp:posOffset>-17145</wp:posOffset>
                      </wp:positionH>
                      <wp:positionV relativeFrom="paragraph">
                        <wp:posOffset>95885</wp:posOffset>
                      </wp:positionV>
                      <wp:extent cx="847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24563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7.55pt" to="65.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" strokecolor="black [3213]"/>
                  </w:pict>
                </mc:Fallback>
              </mc:AlternateContent>
            </w:r>
            <w:r w:rsidRPr="00417A14">
              <w:rPr>
                <w:rFonts w:ascii="Times New Roman" w:hAnsi="Times New Roman" w:cs="Times New Roman"/>
                <w:sz w:val="24"/>
                <w:szCs w:val="24"/>
              </w:rPr>
              <w:t xml:space="preserve">                          </w:t>
            </w:r>
            <w:proofErr w:type="spellStart"/>
            <w:r w:rsidRPr="00417A14">
              <w:rPr>
                <w:rFonts w:ascii="Times New Roman" w:hAnsi="Times New Roman" w:cs="Times New Roman"/>
                <w:sz w:val="24"/>
                <w:szCs w:val="24"/>
              </w:rPr>
              <w:t>Cmol</w:t>
            </w:r>
            <w:proofErr w:type="spellEnd"/>
            <w:r w:rsidRPr="00417A14">
              <w:rPr>
                <w:rFonts w:ascii="Times New Roman" w:hAnsi="Times New Roman" w:cs="Times New Roman"/>
                <w:sz w:val="24"/>
                <w:szCs w:val="24"/>
              </w:rPr>
              <w:t>/kg</w:t>
            </w:r>
          </w:p>
        </w:tc>
      </w:tr>
      <w:tr w:rsidR="00417A14" w:rsidRPr="00417A14" w14:paraId="31BB9AFE" w14:textId="77777777" w:rsidTr="007D5662">
        <w:trPr>
          <w:trHeight w:val="289"/>
        </w:trPr>
        <w:tc>
          <w:tcPr>
            <w:tcW w:w="1668" w:type="dxa"/>
            <w:tcBorders>
              <w:top w:val="single" w:sz="4" w:space="0" w:color="auto"/>
            </w:tcBorders>
          </w:tcPr>
          <w:p w14:paraId="49175CBA"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0 - 0 - 0</w:t>
            </w:r>
          </w:p>
        </w:tc>
        <w:tc>
          <w:tcPr>
            <w:tcW w:w="1134" w:type="dxa"/>
            <w:tcBorders>
              <w:top w:val="single" w:sz="4" w:space="0" w:color="auto"/>
            </w:tcBorders>
          </w:tcPr>
          <w:p w14:paraId="204D32C0"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0.05a</w:t>
            </w:r>
          </w:p>
        </w:tc>
        <w:tc>
          <w:tcPr>
            <w:tcW w:w="1275" w:type="dxa"/>
            <w:tcBorders>
              <w:top w:val="single" w:sz="4" w:space="0" w:color="auto"/>
            </w:tcBorders>
          </w:tcPr>
          <w:p w14:paraId="4CA0A7CC"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1.21a</w:t>
            </w:r>
          </w:p>
        </w:tc>
        <w:tc>
          <w:tcPr>
            <w:tcW w:w="1134" w:type="dxa"/>
            <w:tcBorders>
              <w:top w:val="single" w:sz="4" w:space="0" w:color="auto"/>
            </w:tcBorders>
          </w:tcPr>
          <w:p w14:paraId="4A5211DA"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0.09a</w:t>
            </w:r>
          </w:p>
        </w:tc>
        <w:tc>
          <w:tcPr>
            <w:tcW w:w="1276" w:type="dxa"/>
            <w:tcBorders>
              <w:top w:val="single" w:sz="4" w:space="0" w:color="auto"/>
            </w:tcBorders>
          </w:tcPr>
          <w:p w14:paraId="4983C2BE"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3.25a</w:t>
            </w:r>
          </w:p>
        </w:tc>
        <w:tc>
          <w:tcPr>
            <w:tcW w:w="1134" w:type="dxa"/>
            <w:tcBorders>
              <w:top w:val="single" w:sz="4" w:space="0" w:color="auto"/>
            </w:tcBorders>
          </w:tcPr>
          <w:p w14:paraId="5ED2D81A"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1.35a</w:t>
            </w:r>
          </w:p>
        </w:tc>
        <w:tc>
          <w:tcPr>
            <w:tcW w:w="1418" w:type="dxa"/>
            <w:tcBorders>
              <w:top w:val="single" w:sz="4" w:space="0" w:color="auto"/>
            </w:tcBorders>
          </w:tcPr>
          <w:p w14:paraId="59B9388F"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0.08b</w:t>
            </w:r>
          </w:p>
        </w:tc>
      </w:tr>
      <w:tr w:rsidR="00417A14" w:rsidRPr="00417A14" w14:paraId="6FE01F45" w14:textId="77777777" w:rsidTr="007D5662">
        <w:trPr>
          <w:trHeight w:val="299"/>
        </w:trPr>
        <w:tc>
          <w:tcPr>
            <w:tcW w:w="1668" w:type="dxa"/>
          </w:tcPr>
          <w:p w14:paraId="0535E256"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10 – 15 – 10</w:t>
            </w:r>
          </w:p>
        </w:tc>
        <w:tc>
          <w:tcPr>
            <w:tcW w:w="1134" w:type="dxa"/>
          </w:tcPr>
          <w:p w14:paraId="7F38AB78"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0.06a</w:t>
            </w:r>
          </w:p>
        </w:tc>
        <w:tc>
          <w:tcPr>
            <w:tcW w:w="1275" w:type="dxa"/>
          </w:tcPr>
          <w:p w14:paraId="3C171D92"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2.71a</w:t>
            </w:r>
          </w:p>
        </w:tc>
        <w:tc>
          <w:tcPr>
            <w:tcW w:w="1134" w:type="dxa"/>
          </w:tcPr>
          <w:p w14:paraId="5DD630FF"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0.21ab</w:t>
            </w:r>
          </w:p>
        </w:tc>
        <w:tc>
          <w:tcPr>
            <w:tcW w:w="1276" w:type="dxa"/>
          </w:tcPr>
          <w:p w14:paraId="7D2280FF"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4.00b</w:t>
            </w:r>
          </w:p>
        </w:tc>
        <w:tc>
          <w:tcPr>
            <w:tcW w:w="1134" w:type="dxa"/>
          </w:tcPr>
          <w:p w14:paraId="2FBBB917"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1.56ab</w:t>
            </w:r>
          </w:p>
        </w:tc>
        <w:tc>
          <w:tcPr>
            <w:tcW w:w="1418" w:type="dxa"/>
          </w:tcPr>
          <w:p w14:paraId="4FB863F9"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0.09b</w:t>
            </w:r>
          </w:p>
        </w:tc>
      </w:tr>
      <w:tr w:rsidR="00417A14" w:rsidRPr="00417A14" w14:paraId="16CC58D6" w14:textId="77777777" w:rsidTr="007D5662">
        <w:trPr>
          <w:trHeight w:val="289"/>
        </w:trPr>
        <w:tc>
          <w:tcPr>
            <w:tcW w:w="1668" w:type="dxa"/>
          </w:tcPr>
          <w:p w14:paraId="041C95C7"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20 – 15 – 20</w:t>
            </w:r>
          </w:p>
        </w:tc>
        <w:tc>
          <w:tcPr>
            <w:tcW w:w="1134" w:type="dxa"/>
          </w:tcPr>
          <w:p w14:paraId="57AAA292"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0.06a</w:t>
            </w:r>
          </w:p>
        </w:tc>
        <w:tc>
          <w:tcPr>
            <w:tcW w:w="1275" w:type="dxa"/>
          </w:tcPr>
          <w:p w14:paraId="482BAC7B"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2.52a</w:t>
            </w:r>
          </w:p>
        </w:tc>
        <w:tc>
          <w:tcPr>
            <w:tcW w:w="1134" w:type="dxa"/>
          </w:tcPr>
          <w:p w14:paraId="4E84C4AC"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0.17ab</w:t>
            </w:r>
          </w:p>
        </w:tc>
        <w:tc>
          <w:tcPr>
            <w:tcW w:w="1276" w:type="dxa"/>
          </w:tcPr>
          <w:p w14:paraId="5679DA18"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4.15bc</w:t>
            </w:r>
          </w:p>
        </w:tc>
        <w:tc>
          <w:tcPr>
            <w:tcW w:w="1134" w:type="dxa"/>
          </w:tcPr>
          <w:p w14:paraId="1BB09BDE"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1.35a</w:t>
            </w:r>
          </w:p>
        </w:tc>
        <w:tc>
          <w:tcPr>
            <w:tcW w:w="1418" w:type="dxa"/>
          </w:tcPr>
          <w:p w14:paraId="6158629F"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0.09b</w:t>
            </w:r>
          </w:p>
        </w:tc>
      </w:tr>
      <w:tr w:rsidR="00417A14" w:rsidRPr="00417A14" w14:paraId="0EEE31C8" w14:textId="77777777" w:rsidTr="007D5662">
        <w:trPr>
          <w:trHeight w:val="299"/>
        </w:trPr>
        <w:tc>
          <w:tcPr>
            <w:tcW w:w="1668" w:type="dxa"/>
          </w:tcPr>
          <w:p w14:paraId="3878D2DF"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20 – 30 – 10</w:t>
            </w:r>
          </w:p>
        </w:tc>
        <w:tc>
          <w:tcPr>
            <w:tcW w:w="1134" w:type="dxa"/>
          </w:tcPr>
          <w:p w14:paraId="0E3E99A5"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0.06a</w:t>
            </w:r>
          </w:p>
        </w:tc>
        <w:tc>
          <w:tcPr>
            <w:tcW w:w="1275" w:type="dxa"/>
          </w:tcPr>
          <w:p w14:paraId="1299003F"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2.99a</w:t>
            </w:r>
          </w:p>
        </w:tc>
        <w:tc>
          <w:tcPr>
            <w:tcW w:w="1134" w:type="dxa"/>
          </w:tcPr>
          <w:p w14:paraId="12AB384C"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0.21b</w:t>
            </w:r>
          </w:p>
        </w:tc>
        <w:tc>
          <w:tcPr>
            <w:tcW w:w="1276" w:type="dxa"/>
          </w:tcPr>
          <w:p w14:paraId="4D9B730E"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4.30bc</w:t>
            </w:r>
          </w:p>
        </w:tc>
        <w:tc>
          <w:tcPr>
            <w:tcW w:w="1134" w:type="dxa"/>
          </w:tcPr>
          <w:p w14:paraId="5F99C9CF"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1.75bc</w:t>
            </w:r>
          </w:p>
        </w:tc>
        <w:tc>
          <w:tcPr>
            <w:tcW w:w="1418" w:type="dxa"/>
          </w:tcPr>
          <w:p w14:paraId="29DFEF5B"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0.05b</w:t>
            </w:r>
          </w:p>
        </w:tc>
      </w:tr>
      <w:tr w:rsidR="00417A14" w:rsidRPr="00417A14" w14:paraId="51ABE815" w14:textId="77777777" w:rsidTr="007D5662">
        <w:trPr>
          <w:trHeight w:val="299"/>
        </w:trPr>
        <w:tc>
          <w:tcPr>
            <w:tcW w:w="1668" w:type="dxa"/>
          </w:tcPr>
          <w:p w14:paraId="62F87037"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20 – 30 – 20</w:t>
            </w:r>
          </w:p>
        </w:tc>
        <w:tc>
          <w:tcPr>
            <w:tcW w:w="1134" w:type="dxa"/>
          </w:tcPr>
          <w:p w14:paraId="6FF5CE69"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0.07a</w:t>
            </w:r>
          </w:p>
        </w:tc>
        <w:tc>
          <w:tcPr>
            <w:tcW w:w="1275" w:type="dxa"/>
          </w:tcPr>
          <w:p w14:paraId="43FC8995"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2.15a</w:t>
            </w:r>
          </w:p>
        </w:tc>
        <w:tc>
          <w:tcPr>
            <w:tcW w:w="1134" w:type="dxa"/>
          </w:tcPr>
          <w:p w14:paraId="4A36E149"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0.39c</w:t>
            </w:r>
          </w:p>
        </w:tc>
        <w:tc>
          <w:tcPr>
            <w:tcW w:w="1276" w:type="dxa"/>
          </w:tcPr>
          <w:p w14:paraId="366D844A"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4.50bc</w:t>
            </w:r>
          </w:p>
        </w:tc>
        <w:tc>
          <w:tcPr>
            <w:tcW w:w="1134" w:type="dxa"/>
          </w:tcPr>
          <w:p w14:paraId="2278CB66"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1.70bc</w:t>
            </w:r>
          </w:p>
        </w:tc>
        <w:tc>
          <w:tcPr>
            <w:tcW w:w="1418" w:type="dxa"/>
          </w:tcPr>
          <w:p w14:paraId="0F1FCA98"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0.10b</w:t>
            </w:r>
          </w:p>
        </w:tc>
      </w:tr>
      <w:tr w:rsidR="00417A14" w:rsidRPr="00417A14" w14:paraId="0FD3A9F1" w14:textId="77777777" w:rsidTr="007D5662">
        <w:trPr>
          <w:trHeight w:val="289"/>
        </w:trPr>
        <w:tc>
          <w:tcPr>
            <w:tcW w:w="1668" w:type="dxa"/>
          </w:tcPr>
          <w:p w14:paraId="4AF356AE"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20 – 45 – 20</w:t>
            </w:r>
          </w:p>
        </w:tc>
        <w:tc>
          <w:tcPr>
            <w:tcW w:w="1134" w:type="dxa"/>
          </w:tcPr>
          <w:p w14:paraId="74511E02"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0.07a</w:t>
            </w:r>
          </w:p>
        </w:tc>
        <w:tc>
          <w:tcPr>
            <w:tcW w:w="1275" w:type="dxa"/>
          </w:tcPr>
          <w:p w14:paraId="66F939E5"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2.30a</w:t>
            </w:r>
          </w:p>
        </w:tc>
        <w:tc>
          <w:tcPr>
            <w:tcW w:w="1134" w:type="dxa"/>
          </w:tcPr>
          <w:p w14:paraId="022EFA1C"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0.20ab</w:t>
            </w:r>
          </w:p>
        </w:tc>
        <w:tc>
          <w:tcPr>
            <w:tcW w:w="1276" w:type="dxa"/>
          </w:tcPr>
          <w:p w14:paraId="5F3DB792"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4.20bc</w:t>
            </w:r>
          </w:p>
        </w:tc>
        <w:tc>
          <w:tcPr>
            <w:tcW w:w="1134" w:type="dxa"/>
          </w:tcPr>
          <w:p w14:paraId="5DB84D1B"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1.70bc</w:t>
            </w:r>
          </w:p>
        </w:tc>
        <w:tc>
          <w:tcPr>
            <w:tcW w:w="1418" w:type="dxa"/>
          </w:tcPr>
          <w:p w14:paraId="0272F953"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0.07b</w:t>
            </w:r>
          </w:p>
        </w:tc>
      </w:tr>
      <w:tr w:rsidR="00417A14" w:rsidRPr="00417A14" w14:paraId="0830536C" w14:textId="77777777" w:rsidTr="007D5662">
        <w:trPr>
          <w:trHeight w:val="299"/>
        </w:trPr>
        <w:tc>
          <w:tcPr>
            <w:tcW w:w="1668" w:type="dxa"/>
          </w:tcPr>
          <w:p w14:paraId="462B2C4A"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30 – 45 - 30</w:t>
            </w:r>
          </w:p>
        </w:tc>
        <w:tc>
          <w:tcPr>
            <w:tcW w:w="1134" w:type="dxa"/>
          </w:tcPr>
          <w:p w14:paraId="014EE409"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0.06a</w:t>
            </w:r>
          </w:p>
        </w:tc>
        <w:tc>
          <w:tcPr>
            <w:tcW w:w="1275" w:type="dxa"/>
          </w:tcPr>
          <w:p w14:paraId="4A8ED5E1"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3.38a</w:t>
            </w:r>
          </w:p>
        </w:tc>
        <w:tc>
          <w:tcPr>
            <w:tcW w:w="1134" w:type="dxa"/>
          </w:tcPr>
          <w:p w14:paraId="64B003CF"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0.25b</w:t>
            </w:r>
          </w:p>
        </w:tc>
        <w:tc>
          <w:tcPr>
            <w:tcW w:w="1276" w:type="dxa"/>
          </w:tcPr>
          <w:p w14:paraId="4F8F1728"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4.60c</w:t>
            </w:r>
          </w:p>
        </w:tc>
        <w:tc>
          <w:tcPr>
            <w:tcW w:w="1134" w:type="dxa"/>
          </w:tcPr>
          <w:p w14:paraId="3F783625"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1.80c</w:t>
            </w:r>
          </w:p>
        </w:tc>
        <w:tc>
          <w:tcPr>
            <w:tcW w:w="1418" w:type="dxa"/>
          </w:tcPr>
          <w:p w14:paraId="01C1F067"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0.12b</w:t>
            </w:r>
          </w:p>
        </w:tc>
      </w:tr>
      <w:tr w:rsidR="00417A14" w:rsidRPr="00417A14" w14:paraId="60E0E556" w14:textId="77777777" w:rsidTr="007D5662">
        <w:trPr>
          <w:trHeight w:val="289"/>
        </w:trPr>
        <w:tc>
          <w:tcPr>
            <w:tcW w:w="1668" w:type="dxa"/>
          </w:tcPr>
          <w:p w14:paraId="40FD0BF6"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F.pr</w:t>
            </w:r>
          </w:p>
        </w:tc>
        <w:tc>
          <w:tcPr>
            <w:tcW w:w="1134" w:type="dxa"/>
          </w:tcPr>
          <w:p w14:paraId="46C0AFE7"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0.40ns</w:t>
            </w:r>
          </w:p>
        </w:tc>
        <w:tc>
          <w:tcPr>
            <w:tcW w:w="1275" w:type="dxa"/>
          </w:tcPr>
          <w:p w14:paraId="69290FC6"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0.07ns</w:t>
            </w:r>
          </w:p>
        </w:tc>
        <w:tc>
          <w:tcPr>
            <w:tcW w:w="1134" w:type="dxa"/>
          </w:tcPr>
          <w:p w14:paraId="674F1D7B"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0.004**</w:t>
            </w:r>
          </w:p>
        </w:tc>
        <w:tc>
          <w:tcPr>
            <w:tcW w:w="1276" w:type="dxa"/>
          </w:tcPr>
          <w:p w14:paraId="612AEFDE"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&lt;0.001**</w:t>
            </w:r>
          </w:p>
        </w:tc>
        <w:tc>
          <w:tcPr>
            <w:tcW w:w="1134" w:type="dxa"/>
          </w:tcPr>
          <w:p w14:paraId="4740FEF9"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0.001**</w:t>
            </w:r>
          </w:p>
        </w:tc>
        <w:tc>
          <w:tcPr>
            <w:tcW w:w="1418" w:type="dxa"/>
          </w:tcPr>
          <w:p w14:paraId="238282CE" w14:textId="77777777" w:rsidR="00936876" w:rsidRPr="00417A14" w:rsidRDefault="00936876" w:rsidP="007D5662">
            <w:pPr>
              <w:spacing w:line="360" w:lineRule="auto"/>
              <w:rPr>
                <w:rFonts w:ascii="Times New Roman" w:hAnsi="Times New Roman" w:cs="Times New Roman"/>
                <w:sz w:val="24"/>
                <w:szCs w:val="24"/>
              </w:rPr>
            </w:pPr>
            <w:r w:rsidRPr="00417A14">
              <w:rPr>
                <w:rFonts w:ascii="Times New Roman" w:hAnsi="Times New Roman" w:cs="Times New Roman"/>
                <w:sz w:val="24"/>
                <w:szCs w:val="24"/>
              </w:rPr>
              <w:t>&lt;0.001**</w:t>
            </w:r>
          </w:p>
        </w:tc>
      </w:tr>
    </w:tbl>
    <w:bookmarkEnd w:id="19"/>
    <w:bookmarkEnd w:id="21"/>
    <w:p w14:paraId="2ECAFF8A" w14:textId="779A88F6" w:rsidR="00936876" w:rsidRPr="00417A14" w:rsidRDefault="00936876" w:rsidP="00936876">
      <w:pPr>
        <w:keepLines/>
        <w:tabs>
          <w:tab w:val="left" w:pos="0"/>
          <w:tab w:val="right" w:pos="3627"/>
          <w:tab w:val="right" w:pos="5265"/>
          <w:tab w:val="right" w:pos="6669"/>
        </w:tabs>
        <w:autoSpaceDE w:val="0"/>
        <w:autoSpaceDN w:val="0"/>
        <w:adjustRightInd w:val="0"/>
        <w:spacing w:after="0" w:line="240" w:lineRule="auto"/>
        <w:jc w:val="both"/>
        <w:rPr>
          <w:rFonts w:ascii="Times New Roman" w:eastAsiaTheme="minorHAnsi" w:hAnsi="Times New Roman"/>
          <w:sz w:val="24"/>
          <w:szCs w:val="24"/>
          <w:lang w:val="en-AU"/>
        </w:rPr>
      </w:pPr>
      <w:r w:rsidRPr="00417A14">
        <w:rPr>
          <w:rFonts w:ascii="Times New Roman" w:eastAsiaTheme="minorHAnsi" w:hAnsi="Times New Roman"/>
          <w:sz w:val="24"/>
          <w:szCs w:val="24"/>
          <w:lang w:val="en-AU"/>
        </w:rPr>
        <w:t xml:space="preserve">F.pr – F probability, **highly significant at 5%, ns – not significant at 5. Data designated with the same letter(s) are not significantly (P &lt; 0.05) different according to </w:t>
      </w:r>
      <w:r w:rsidR="00587A53" w:rsidRPr="00417A14">
        <w:rPr>
          <w:rFonts w:ascii="Times New Roman" w:eastAsiaTheme="minorHAnsi" w:hAnsi="Times New Roman"/>
          <w:sz w:val="24"/>
          <w:szCs w:val="24"/>
          <w:lang w:val="en-AU"/>
        </w:rPr>
        <w:t xml:space="preserve">Fisher's </w:t>
      </w:r>
      <w:r w:rsidRPr="00417A14">
        <w:rPr>
          <w:rFonts w:ascii="Times New Roman" w:eastAsiaTheme="minorHAnsi" w:hAnsi="Times New Roman"/>
          <w:sz w:val="24"/>
          <w:szCs w:val="24"/>
          <w:lang w:val="en-AU"/>
        </w:rPr>
        <w:t xml:space="preserve">least significant difference method. </w:t>
      </w:r>
    </w:p>
    <w:bookmarkEnd w:id="20"/>
    <w:p w14:paraId="3CBA2F2B" w14:textId="77777777" w:rsidR="00936876" w:rsidRPr="00417A14" w:rsidRDefault="00936876" w:rsidP="00936876">
      <w:pPr>
        <w:keepLines/>
        <w:tabs>
          <w:tab w:val="left" w:pos="0"/>
          <w:tab w:val="right" w:pos="3627"/>
          <w:tab w:val="right" w:pos="5265"/>
          <w:tab w:val="right" w:pos="6669"/>
        </w:tabs>
        <w:autoSpaceDE w:val="0"/>
        <w:autoSpaceDN w:val="0"/>
        <w:adjustRightInd w:val="0"/>
        <w:spacing w:after="0" w:line="240" w:lineRule="auto"/>
        <w:rPr>
          <w:rFonts w:ascii="Times New Roman" w:eastAsiaTheme="minorHAnsi" w:hAnsi="Times New Roman"/>
          <w:sz w:val="24"/>
          <w:szCs w:val="24"/>
          <w:lang w:val="en-AU"/>
        </w:rPr>
      </w:pPr>
    </w:p>
    <w:p w14:paraId="4DB05CE3" w14:textId="77777777" w:rsidR="00936876" w:rsidRPr="00417A14" w:rsidRDefault="00936876" w:rsidP="00936876">
      <w:pPr>
        <w:spacing w:line="480" w:lineRule="auto"/>
        <w:jc w:val="both"/>
        <w:rPr>
          <w:rFonts w:ascii="Times New Roman" w:hAnsi="Times New Roman"/>
          <w:sz w:val="24"/>
          <w:szCs w:val="24"/>
        </w:rPr>
      </w:pPr>
      <w:r w:rsidRPr="00417A14">
        <w:rPr>
          <w:rFonts w:ascii="Times New Roman" w:hAnsi="Times New Roman"/>
          <w:sz w:val="24"/>
          <w:szCs w:val="24"/>
        </w:rPr>
        <w:t xml:space="preserve">However, there were significant differences among the exchangeable cations. </w:t>
      </w:r>
      <w:r w:rsidRPr="00417A14">
        <w:rPr>
          <w:rFonts w:ascii="Times New Roman" w:eastAsiaTheme="minorHAnsi" w:hAnsi="Times New Roman"/>
          <w:sz w:val="24"/>
          <w:szCs w:val="24"/>
          <w:lang w:val="en-AU"/>
        </w:rPr>
        <w:t xml:space="preserve">Exchangeable K, Ca, Mg and Na ranged 0.09 to 0.39 </w:t>
      </w:r>
      <w:proofErr w:type="spellStart"/>
      <w:r w:rsidRPr="00417A14">
        <w:rPr>
          <w:rFonts w:ascii="Times New Roman" w:eastAsiaTheme="minorHAnsi" w:hAnsi="Times New Roman"/>
          <w:sz w:val="24"/>
          <w:szCs w:val="24"/>
          <w:lang w:val="en-AU"/>
        </w:rPr>
        <w:t>cmol</w:t>
      </w:r>
      <w:proofErr w:type="spellEnd"/>
      <w:r w:rsidRPr="00417A14">
        <w:rPr>
          <w:rFonts w:ascii="Times New Roman" w:eastAsiaTheme="minorHAnsi" w:hAnsi="Times New Roman"/>
          <w:sz w:val="24"/>
          <w:szCs w:val="24"/>
          <w:lang w:val="en-AU"/>
        </w:rPr>
        <w:t xml:space="preserve">/kg, 3.25 to 4.60 </w:t>
      </w:r>
      <w:proofErr w:type="spellStart"/>
      <w:r w:rsidRPr="00417A14">
        <w:rPr>
          <w:rFonts w:ascii="Times New Roman" w:eastAsiaTheme="minorHAnsi" w:hAnsi="Times New Roman"/>
          <w:sz w:val="24"/>
          <w:szCs w:val="24"/>
          <w:lang w:val="en-AU"/>
        </w:rPr>
        <w:t>cmol</w:t>
      </w:r>
      <w:proofErr w:type="spellEnd"/>
      <w:r w:rsidRPr="00417A14">
        <w:rPr>
          <w:rFonts w:ascii="Times New Roman" w:eastAsiaTheme="minorHAnsi" w:hAnsi="Times New Roman"/>
          <w:sz w:val="24"/>
          <w:szCs w:val="24"/>
          <w:lang w:val="en-AU"/>
        </w:rPr>
        <w:t xml:space="preserve">/kg, 1.35 to 1.8 </w:t>
      </w:r>
      <w:proofErr w:type="spellStart"/>
      <w:r w:rsidRPr="00417A14">
        <w:rPr>
          <w:rFonts w:ascii="Times New Roman" w:eastAsiaTheme="minorHAnsi" w:hAnsi="Times New Roman"/>
          <w:sz w:val="24"/>
          <w:szCs w:val="24"/>
          <w:lang w:val="en-AU"/>
        </w:rPr>
        <w:t>cmol</w:t>
      </w:r>
      <w:proofErr w:type="spellEnd"/>
      <w:r w:rsidRPr="00417A14">
        <w:rPr>
          <w:rFonts w:ascii="Times New Roman" w:eastAsiaTheme="minorHAnsi" w:hAnsi="Times New Roman"/>
          <w:sz w:val="24"/>
          <w:szCs w:val="24"/>
          <w:lang w:val="en-AU"/>
        </w:rPr>
        <w:t xml:space="preserve">/kg and 0.08 to 0.12 </w:t>
      </w:r>
      <w:proofErr w:type="spellStart"/>
      <w:r w:rsidRPr="00417A14">
        <w:rPr>
          <w:rFonts w:ascii="Times New Roman" w:eastAsiaTheme="minorHAnsi" w:hAnsi="Times New Roman"/>
          <w:sz w:val="24"/>
          <w:szCs w:val="24"/>
          <w:lang w:val="en-AU"/>
        </w:rPr>
        <w:t>cmol</w:t>
      </w:r>
      <w:proofErr w:type="spellEnd"/>
      <w:r w:rsidRPr="00417A14">
        <w:rPr>
          <w:rFonts w:ascii="Times New Roman" w:eastAsiaTheme="minorHAnsi" w:hAnsi="Times New Roman"/>
          <w:sz w:val="24"/>
          <w:szCs w:val="24"/>
          <w:lang w:val="en-AU"/>
        </w:rPr>
        <w:t xml:space="preserve">/kg respectively. </w:t>
      </w:r>
    </w:p>
    <w:p w14:paraId="01E84942" w14:textId="77777777" w:rsidR="00936876" w:rsidRPr="00417A14" w:rsidRDefault="00936876" w:rsidP="00936876">
      <w:pPr>
        <w:pStyle w:val="Heading1"/>
        <w:spacing w:line="480" w:lineRule="auto"/>
      </w:pPr>
      <w:r w:rsidRPr="00417A14">
        <w:t>Discussion</w:t>
      </w:r>
    </w:p>
    <w:p w14:paraId="474F25D1" w14:textId="77777777" w:rsidR="00936876" w:rsidRPr="00417A14" w:rsidRDefault="00936876" w:rsidP="00936876">
      <w:pPr>
        <w:pStyle w:val="Heading2"/>
        <w:spacing w:line="480" w:lineRule="auto"/>
      </w:pPr>
      <w:r w:rsidRPr="00417A14">
        <w:t>Effect of fertilizer treatments on cowpea grain yield</w:t>
      </w:r>
    </w:p>
    <w:p w14:paraId="426AAFA6" w14:textId="4B5C53AB" w:rsidR="00936876" w:rsidRPr="00417A14" w:rsidRDefault="00936876" w:rsidP="00936876">
      <w:pPr>
        <w:tabs>
          <w:tab w:val="left" w:pos="2970"/>
        </w:tabs>
        <w:spacing w:after="0" w:line="480" w:lineRule="auto"/>
        <w:jc w:val="both"/>
        <w:rPr>
          <w:rFonts w:ascii="Times New Roman" w:hAnsi="Times New Roman"/>
          <w:sz w:val="24"/>
          <w:szCs w:val="24"/>
        </w:rPr>
      </w:pPr>
      <w:r w:rsidRPr="00417A14">
        <w:rPr>
          <w:rFonts w:ascii="Times New Roman" w:hAnsi="Times New Roman"/>
          <w:sz w:val="24"/>
          <w:szCs w:val="24"/>
        </w:rPr>
        <w:t>Cowpea can obtain its nitrogen requirement by fixing atmospheric nitrogen</w:t>
      </w:r>
      <w:r w:rsidR="00587A53" w:rsidRPr="00417A14">
        <w:rPr>
          <w:rFonts w:ascii="Times New Roman" w:hAnsi="Times New Roman"/>
          <w:sz w:val="24"/>
          <w:szCs w:val="24"/>
        </w:rPr>
        <w:t>,</w:t>
      </w:r>
      <w:r w:rsidRPr="00417A14">
        <w:rPr>
          <w:rFonts w:ascii="Times New Roman" w:hAnsi="Times New Roman"/>
          <w:sz w:val="24"/>
          <w:szCs w:val="24"/>
        </w:rPr>
        <w:t xml:space="preserve"> but nitrogen fertilizer</w:t>
      </w:r>
      <w:r w:rsidR="00587A53" w:rsidRPr="00417A14">
        <w:rPr>
          <w:rFonts w:ascii="Times New Roman" w:hAnsi="Times New Roman"/>
          <w:sz w:val="24"/>
          <w:szCs w:val="24"/>
        </w:rPr>
        <w:t>,</w:t>
      </w:r>
      <w:r w:rsidRPr="00417A14">
        <w:rPr>
          <w:rFonts w:ascii="Times New Roman" w:hAnsi="Times New Roman"/>
          <w:sz w:val="24"/>
          <w:szCs w:val="24"/>
        </w:rPr>
        <w:t xml:space="preserve"> especially in deficient soils is </w:t>
      </w:r>
      <w:r w:rsidR="00587A53" w:rsidRPr="00417A14">
        <w:rPr>
          <w:rFonts w:ascii="Times New Roman" w:hAnsi="Times New Roman"/>
          <w:sz w:val="24"/>
          <w:szCs w:val="24"/>
        </w:rPr>
        <w:t xml:space="preserve">vital </w:t>
      </w:r>
      <w:r w:rsidRPr="00417A14">
        <w:rPr>
          <w:rFonts w:ascii="Times New Roman" w:hAnsi="Times New Roman"/>
          <w:sz w:val="24"/>
          <w:szCs w:val="24"/>
        </w:rPr>
        <w:t xml:space="preserve">for growth and grain yield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&lt;EndNote&gt;&lt;Cite&gt;&lt;Author&gt;Abayomi&lt;/Author&gt;&lt;Year&gt;2008&lt;/Year&gt;&lt;RecNum&gt;15&lt;/RecNum&gt;&lt;DisplayText&gt;(Abayomi et al. 2008)&lt;/DisplayText&gt;&lt;record&gt;&lt;rec-number&gt;15&lt;/rec-number&gt;&lt;foreign-keys&gt;&lt;key app="EN" db-id="2vz9r9ed7zadxne0a0t5e5572x0farz0e0tp" timestamp="1561604870"&gt;15&lt;/key&gt;&lt;/foreign-keys&gt;&lt;ref-type name="Journal Article"&gt;17&lt;/ref-type&gt;&lt;contributors&gt;&lt;authors&gt;&lt;author&gt;Abayomi, YA&lt;/author&gt;&lt;author&gt;Ajibade, TV&lt;/author&gt;&lt;author&gt;Sammuel, OF&lt;/author&gt;&lt;author&gt;Saadudeen, BF&lt;/author&gt;&lt;/authors&gt;&lt;/contributors&gt;&lt;titles&gt;&lt;title&gt;&lt;style face="normal" font="default" size="100%"&gt;Growth and yield responses of cowpea (&lt;/style&gt;&lt;style face="italic" font="default" size="100%"&gt;Vigna unguiculata&lt;/style&gt;&lt;style face="normal" font="default" size="100%"&gt; (L.) Walp) genotypes to nitrogen fertilizer (NPK) application in the Southern Guinea Savanna zone of Nigeria&lt;/style&gt;&lt;/title&gt;&lt;secondary-title&gt;Asian J. Plant Sci&lt;/secondary-title&gt;&lt;/titles&gt;&lt;pages&gt;170-176&lt;/pages&gt;&lt;volume&gt;7&lt;/volume&gt;&lt;number&gt;2&lt;/number&gt;&lt;dates&gt;&lt;year&gt;2008&lt;/year&gt;&lt;/dates&gt;&lt;urls&gt;&lt;/urls&gt;&lt;/record&gt;&lt;/Cite&gt;&lt;/EndNote&gt;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(Abayomi et al. 2008)</w:t>
      </w:r>
      <w:r w:rsidRPr="00417A14">
        <w:rPr>
          <w:rFonts w:ascii="Times New Roman" w:hAnsi="Times New Roman"/>
          <w:sz w:val="24"/>
          <w:szCs w:val="24"/>
        </w:rPr>
        <w:fldChar w:fldCharType="end"/>
      </w:r>
      <w:r w:rsidRPr="00417A14">
        <w:rPr>
          <w:rFonts w:ascii="Times New Roman" w:hAnsi="Times New Roman"/>
          <w:sz w:val="24"/>
          <w:szCs w:val="24"/>
        </w:rPr>
        <w:t xml:space="preserve">. Under the two cropping seasons (2012 and 2013), fertilizer rates significantly increased </w:t>
      </w:r>
      <w:r w:rsidR="00587A53" w:rsidRPr="00417A14">
        <w:rPr>
          <w:rFonts w:ascii="Times New Roman" w:hAnsi="Times New Roman"/>
          <w:sz w:val="24"/>
          <w:szCs w:val="24"/>
        </w:rPr>
        <w:t>cowpea grain yield</w:t>
      </w:r>
      <w:r w:rsidRPr="00417A14">
        <w:rPr>
          <w:rFonts w:ascii="Times New Roman" w:hAnsi="Times New Roman"/>
          <w:sz w:val="24"/>
          <w:szCs w:val="24"/>
        </w:rPr>
        <w:t xml:space="preserve">. The grain yield response to fertilizer application showed a similar trend in both cropping seasons (Table 3) against the report of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&lt;EndNote&gt;&lt;Cite&gt;&lt;Author&gt;Fosu&lt;/Author&gt;&lt;Year&gt;2012&lt;/Year&gt;&lt;RecNum&gt;40&lt;/RecNum&gt;&lt;DisplayText&gt;(Fosu et al. 2012)&lt;/DisplayText&gt;&lt;record&gt;&lt;rec-number&gt;40&lt;/rec-number&gt;&lt;foreign-keys&gt;&lt;key app="EN" db-id="2vz9r9ed7zadxne0a0t5e5572x0farz0e0tp" timestamp="1561687627"&gt;40&lt;/key&gt;&lt;/foreign-keys&gt;&lt;ref-type name="Book Section"&gt;5&lt;/ref-type&gt;&lt;contributors&gt;&lt;authors&gt;&lt;author&gt;Fosu, Mathias&lt;/author&gt;&lt;author&gt;Buah, SS&lt;/author&gt;&lt;author&gt;Kanton, RA L&lt;/author&gt;&lt;author&gt;Agyare, WA&lt;/author&gt;&lt;/authors&gt;&lt;/contributors&gt;&lt;titles&gt;&lt;title&gt;Modeling maize response to mineral fertilizer on silty clay loam in the northern savanna zone of ghana using DSSAT model&lt;/title&gt;&lt;secondary-title&gt;Improving Soil Fertility Recommendations in Africa using the Decision Support System for Agrotechnology Transfer (DSSAT)&lt;/secondary-title&gt;&lt;/titles&gt;&lt;pages&gt;157-168&lt;/pages&gt;&lt;dates&gt;&lt;year&gt;2012&lt;/year&gt;&lt;/dates&gt;&lt;publisher&gt;Springer&lt;/publisher&gt;&lt;urls&gt;&lt;/urls&gt;&lt;/record&gt;&lt;/Cite&gt;&lt;/EndNote&gt;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(Fosu et al. 2012)</w:t>
      </w:r>
      <w:r w:rsidRPr="00417A14">
        <w:rPr>
          <w:rFonts w:ascii="Times New Roman" w:hAnsi="Times New Roman"/>
          <w:sz w:val="24"/>
          <w:szCs w:val="24"/>
        </w:rPr>
        <w:fldChar w:fldCharType="end"/>
      </w:r>
      <w:r w:rsidRPr="00417A14">
        <w:rPr>
          <w:rFonts w:ascii="Times New Roman" w:hAnsi="Times New Roman"/>
          <w:sz w:val="24"/>
          <w:szCs w:val="24"/>
        </w:rPr>
        <w:t xml:space="preserve"> that crop response to N is rarely the same from year to year because it is dynamic and mobile. Abayomi et al</w:t>
      </w:r>
      <w:r w:rsidR="00587A53" w:rsidRPr="00417A14">
        <w:rPr>
          <w:rFonts w:ascii="Times New Roman" w:hAnsi="Times New Roman"/>
          <w:sz w:val="24"/>
          <w:szCs w:val="24"/>
        </w:rPr>
        <w:t>.</w:t>
      </w:r>
      <w:r w:rsidRPr="00417A14" w:rsidDel="009F0A77">
        <w:rPr>
          <w:rFonts w:ascii="Times New Roman" w:hAnsi="Times New Roman"/>
          <w:sz w:val="24"/>
          <w:szCs w:val="24"/>
        </w:rPr>
        <w:t xml:space="preserve">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&lt;EndNote&gt;&lt;Cite&gt;&lt;Author&gt;Abayomi&lt;/Author&gt;&lt;Year&gt;2008&lt;/Year&gt;&lt;RecNum&gt;15&lt;/RecNum&gt;&lt;DisplayText&gt;(Abayomi et al. 2008)&lt;/DisplayText&gt;&lt;record&gt;&lt;rec-number&gt;15&lt;/rec-number&gt;&lt;foreign-keys&gt;&lt;key app="EN" db-id="2vz9r9ed7zadxne0a0t5e5572x0farz0e0tp" timestamp="1561604870"&gt;15&lt;/key&gt;&lt;/foreign-keys&gt;&lt;ref-type name="Journal Article"&gt;17&lt;/ref-type&gt;&lt;contributors&gt;&lt;authors&gt;&lt;author&gt;Abayomi, YA&lt;/author&gt;&lt;author&gt;Ajibade, TV&lt;/author&gt;&lt;author&gt;Sammuel, OF&lt;/author&gt;&lt;author&gt;Saadudeen, BF&lt;/author&gt;&lt;/authors&gt;&lt;/contributors&gt;&lt;titles&gt;&lt;title&gt;&lt;style face="normal" font="default" size="100%"&gt;Growth and yield responses of cowpea (&lt;/style&gt;&lt;style face="italic" font="default" size="100%"&gt;Vigna unguiculata&lt;/style&gt;&lt;style face="normal" font="default" size="100%"&gt; (L.) Walp) genotypes to nitrogen fertilizer (NPK) application in the Southern Guinea Savanna zone of Nigeria&lt;/style&gt;&lt;/title&gt;&lt;secondary-title&gt;Asian J. Plant Sci&lt;/secondary-title&gt;&lt;/titles&gt;&lt;pages&gt;170-176&lt;/pages&gt;&lt;volume&gt;7&lt;/volume&gt;&lt;number&gt;2&lt;/number&gt;&lt;dates&gt;&lt;year&gt;2008&lt;/year&gt;&lt;/dates&gt;&lt;urls&gt;&lt;/urls&gt;&lt;/record&gt;&lt;/Cite&gt;&lt;/EndNote&gt;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(Abayomi et al. 2008)</w:t>
      </w:r>
      <w:r w:rsidRPr="00417A14">
        <w:rPr>
          <w:rFonts w:ascii="Times New Roman" w:hAnsi="Times New Roman"/>
          <w:sz w:val="24"/>
          <w:szCs w:val="24"/>
        </w:rPr>
        <w:fldChar w:fldCharType="end"/>
      </w:r>
      <w:r w:rsidRPr="00417A14">
        <w:rPr>
          <w:rFonts w:ascii="Times New Roman" w:hAnsi="Times New Roman"/>
          <w:sz w:val="24"/>
          <w:szCs w:val="24"/>
        </w:rPr>
        <w:t xml:space="preserve"> reported the same trend in grain yield of cowpea over 3 years (2002, 2003, and 2004) in the report of a study conducted in Southern Guinea </w:t>
      </w:r>
      <w:r w:rsidRPr="00417A14">
        <w:rPr>
          <w:rFonts w:ascii="Times New Roman" w:hAnsi="Times New Roman"/>
          <w:sz w:val="24"/>
          <w:szCs w:val="24"/>
        </w:rPr>
        <w:lastRenderedPageBreak/>
        <w:t xml:space="preserve">Savanna zone of Nigeria. The consistency in yield may be attributed to the fact that </w:t>
      </w:r>
      <w:r w:rsidR="00587A53" w:rsidRPr="00417A14">
        <w:rPr>
          <w:rFonts w:ascii="Times New Roman" w:hAnsi="Times New Roman"/>
          <w:sz w:val="24"/>
          <w:szCs w:val="24"/>
        </w:rPr>
        <w:t>cowpea's nutrient requirement</w:t>
      </w:r>
      <w:r w:rsidRPr="00417A14">
        <w:rPr>
          <w:rFonts w:ascii="Times New Roman" w:hAnsi="Times New Roman"/>
          <w:sz w:val="24"/>
          <w:szCs w:val="24"/>
        </w:rPr>
        <w:t xml:space="preserve"> was the same for both years. There was no added benefit of applying phosphorus beyond 30 kg/ha. Phosphorus stimulates the formation, growth and function of root nodules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&lt;EndNote&gt;&lt;Cite&gt;&lt;Author&gt;Waluyo&lt;/Author&gt;&lt;Year&gt;2016&lt;/Year&gt;&lt;RecNum&gt;564&lt;/RecNum&gt;&lt;DisplayText&gt;(Waluyo and Lie 2016)&lt;/DisplayText&gt;&lt;record&gt;&lt;rec-number&gt;564&lt;/rec-number&gt;&lt;foreign-keys&gt;&lt;key app="EN" db-id="2vz9r9ed7zadxne0a0t5e5572x0farz0e0tp" timestamp="1573244723"&gt;564&lt;/key&gt;&lt;/foreign-keys&gt;&lt;ref-type name="Journal Article"&gt;17&lt;/ref-type&gt;&lt;contributors&gt;&lt;authors&gt;&lt;author&gt;Waluyo, Setiyo Hadi&lt;/author&gt;&lt;author&gt;Lie, Tek An&lt;/author&gt;&lt;/authors&gt;&lt;/contributors&gt;&lt;titles&gt;&lt;title&gt;Effect of phosphate on nodule primordia of soybean (Glycine max Merrill) in acid soils in rhizotron experiments&lt;/title&gt;&lt;secondary-title&gt;Indonesian J. Agric. Sci.&lt;/secondary-title&gt;&lt;/titles&gt;&lt;pages&gt;37-44&lt;/pages&gt;&lt;volume&gt;5&lt;/volume&gt;&lt;number&gt;2&lt;/number&gt;&lt;dates&gt;&lt;year&gt;2016&lt;/year&gt;&lt;/dates&gt;&lt;isbn&gt;2354-8509&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(Waluyo and Lie 2016)</w:t>
      </w:r>
      <w:r w:rsidRPr="00417A14">
        <w:rPr>
          <w:rFonts w:ascii="Times New Roman" w:hAnsi="Times New Roman"/>
          <w:sz w:val="24"/>
          <w:szCs w:val="24"/>
        </w:rPr>
        <w:fldChar w:fldCharType="end"/>
      </w:r>
      <w:r w:rsidRPr="00417A14">
        <w:rPr>
          <w:rFonts w:ascii="Times New Roman" w:hAnsi="Times New Roman"/>
          <w:sz w:val="24"/>
          <w:szCs w:val="24"/>
        </w:rPr>
        <w:t xml:space="preserve"> and </w:t>
      </w:r>
      <w:r w:rsidR="00587A53" w:rsidRPr="00417A14">
        <w:rPr>
          <w:rFonts w:ascii="Times New Roman" w:hAnsi="Times New Roman"/>
          <w:sz w:val="24"/>
          <w:szCs w:val="24"/>
        </w:rPr>
        <w:t>rhizobial strains' growth</w:t>
      </w:r>
      <w:r w:rsidRPr="00417A14">
        <w:rPr>
          <w:rFonts w:ascii="Times New Roman" w:hAnsi="Times New Roman"/>
          <w:sz w:val="24"/>
          <w:szCs w:val="24"/>
        </w:rPr>
        <w:t xml:space="preserve">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&lt;EndNote&gt;&lt;Cite&gt;&lt;Author&gt;Abbasi&lt;/Author&gt;&lt;Year&gt;2010&lt;/Year&gt;&lt;RecNum&gt;565&lt;/RecNum&gt;&lt;DisplayText&gt;(Abbasi et al. 2010)&lt;/DisplayText&gt;&lt;record&gt;&lt;rec-number&gt;565&lt;/rec-number&gt;&lt;foreign-keys&gt;&lt;key app="EN" db-id="2vz9r9ed7zadxne0a0t5e5572x0farz0e0tp" timestamp="1573244838"&gt;565&lt;/key&gt;&lt;/foreign-keys&gt;&lt;ref-type name="Journal Article"&gt;17&lt;/ref-type&gt;&lt;contributors&gt;&lt;authors&gt;&lt;author&gt;Abbasi, M Kaleem&lt;/author&gt;&lt;author&gt;Manzoor, Muhammad&lt;/author&gt;&lt;author&gt;Tahir, Majid Mahmood&lt;/author&gt;&lt;/authors&gt;&lt;/contributors&gt;&lt;titles&gt;&lt;title&gt;Efficiency of Rhizobium inoculation and P fertilization in enhancing nodulation, seed yield, and phosphorus use efficiency by field grown soybean under hilly region of Rawalakot Azad Jammu and Kashmir, Pakistan&lt;/title&gt;&lt;secondary-title&gt;Journal of Plant Nutrition&lt;/secondary-title&gt;&lt;/titles&gt;&lt;periodical&gt;&lt;full-title&gt;Journal of Plant Nutrition&lt;/full-title&gt;&lt;abbr-1&gt;J. Plant Nutr.&lt;/abbr-1&gt;&lt;abbr-2&gt;J Plant Nutr&lt;/abbr-2&gt;&lt;/periodical&gt;&lt;pages&gt;1080-1102&lt;/pages&gt;&lt;volume&gt;33&lt;/volume&gt;&lt;number&gt;7&lt;/number&gt;&lt;dates&gt;&lt;year&gt;2010&lt;/year&gt;&lt;/dates&gt;&lt;isbn&gt;0190-4167&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(Abbasi et al. 2010)</w:t>
      </w:r>
      <w:r w:rsidRPr="00417A14">
        <w:rPr>
          <w:rFonts w:ascii="Times New Roman" w:hAnsi="Times New Roman"/>
          <w:sz w:val="24"/>
          <w:szCs w:val="24"/>
        </w:rPr>
        <w:fldChar w:fldCharType="end"/>
      </w:r>
      <w:r w:rsidRPr="00417A14">
        <w:rPr>
          <w:rFonts w:ascii="Times New Roman" w:hAnsi="Times New Roman"/>
          <w:sz w:val="24"/>
          <w:szCs w:val="24"/>
        </w:rPr>
        <w:t xml:space="preserve">. Our results agree with the report that phosphorus is essential for cowpea production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&lt;EndNote&gt;&lt;Cite&gt;&lt;Author&gt;Oladiran&lt;/Author&gt;&lt;Year&gt;2012&lt;/Year&gt;&lt;RecNum&gt;879&lt;/RecNum&gt;&lt;DisplayText&gt;(Daramy et al. 2016; Oladiran et al. 2012)&lt;/DisplayText&gt;&lt;record&gt;&lt;rec-number&gt;879&lt;/rec-number&gt;&lt;foreign-keys&gt;&lt;key app="EN" db-id="2vz9r9ed7zadxne0a0t5e5572x0farz0e0tp" timestamp="1594693263"&gt;879&lt;/key&gt;&lt;/foreign-keys&gt;&lt;ref-type name="Journal Article"&gt;17&lt;/ref-type&gt;&lt;contributors&gt;&lt;authors&gt;&lt;author&gt;Oladiran, Olaleye&lt;/author&gt;&lt;author&gt;Olajire, Fagbola&lt;/author&gt;&lt;author&gt;Robert, Abaidoo C&lt;/author&gt;&lt;author&gt;Nnenna, Ikeorah&lt;/author&gt;&lt;/authors&gt;&lt;/contributors&gt;&lt;titles&gt;&lt;title&gt;Phosphorus response efficiency in cowpea genotypes&lt;/title&gt;&lt;secondary-title&gt;Journal of Agricultural Science&lt;/secondary-title&gt;&lt;/titles&gt;&lt;periodical&gt;&lt;full-title&gt;Journal of Agricultural Science&lt;/full-title&gt;&lt;abbr-1&gt;J Agric Sci&lt;/abbr-1&gt;&lt;abbr-2&gt;J. Agric. Sci.&lt;/abbr-2&gt;&lt;/periodical&gt;&lt;pages&gt;81&lt;/pages&gt;&lt;volume&gt;4&lt;/volume&gt;&lt;number&gt;1&lt;/number&gt;&lt;dates&gt;&lt;year&gt;2012&lt;/year&gt;&lt;/dates&gt;&lt;isbn&gt;1916-9752&lt;/isbn&gt;&lt;urls&gt;&lt;/urls&gt;&lt;/record&gt;&lt;/Cite&gt;&lt;Cite&gt;&lt;Author&gt;Daramy&lt;/Author&gt;&lt;Year&gt;2016&lt;/Year&gt;&lt;RecNum&gt;233&lt;/RecNum&gt;&lt;record&gt;&lt;rec-number&gt;233&lt;/rec-number&gt;&lt;foreign-keys&gt;&lt;key app="EN" db-id="2vz9r9ed7zadxne0a0t5e5572x0farz0e0tp" timestamp="1564357841"&gt;233&lt;/key&gt;&lt;/foreign-keys&gt;&lt;ref-type name="Journal Article"&gt;17&lt;/ref-type&gt;&lt;contributors&gt;&lt;authors&gt;&lt;author&gt;Daramy, MA&lt;/author&gt;&lt;author&gt;Sarkodie-Addo, J&lt;/author&gt;&lt;author&gt;Dumbuya, G&lt;/author&gt;&lt;/authors&gt;&lt;/contributors&gt;&lt;titles&gt;&lt;title&gt;The effects of nitrogen and phosphorus fertilizer application on crude protein, nutrient concentration and nodulation of cowpea in Ghana&lt;/title&gt;&lt;secondary-title&gt; ARPN J. Agric. Biol. Sci.&lt;/secondary-title&gt;&lt;/titles&gt;&lt;pages&gt;470 - 480&lt;/pages&gt;&lt;volume&gt;11&lt;/volume&gt;&lt;dates&gt;&lt;year&gt;2016&lt;/year&gt;&lt;/dates&gt;&lt;urls&gt;&lt;/urls&gt;&lt;/record&gt;&lt;/Cite&gt;&lt;/EndNote&gt;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(Daramy et al. 2016; Oladiran et al. 2012)</w:t>
      </w:r>
      <w:r w:rsidRPr="00417A14">
        <w:rPr>
          <w:rFonts w:ascii="Times New Roman" w:hAnsi="Times New Roman"/>
          <w:sz w:val="24"/>
          <w:szCs w:val="24"/>
        </w:rPr>
        <w:fldChar w:fldCharType="end"/>
      </w:r>
      <w:r w:rsidRPr="00417A14">
        <w:rPr>
          <w:rFonts w:ascii="Times New Roman" w:hAnsi="Times New Roman"/>
          <w:sz w:val="24"/>
          <w:szCs w:val="24"/>
        </w:rPr>
        <w:t>. This response to P</w:t>
      </w:r>
      <w:r w:rsidRPr="00417A14">
        <w:rPr>
          <w:rFonts w:ascii="Times New Roman" w:hAnsi="Times New Roman"/>
          <w:sz w:val="24"/>
          <w:szCs w:val="24"/>
          <w:vertAlign w:val="subscript"/>
        </w:rPr>
        <w:t>2</w:t>
      </w:r>
      <w:r w:rsidRPr="00417A14">
        <w:rPr>
          <w:rFonts w:ascii="Times New Roman" w:hAnsi="Times New Roman"/>
          <w:sz w:val="24"/>
          <w:szCs w:val="24"/>
        </w:rPr>
        <w:t>O</w:t>
      </w:r>
      <w:r w:rsidRPr="00417A14">
        <w:rPr>
          <w:rFonts w:ascii="Times New Roman" w:hAnsi="Times New Roman"/>
          <w:sz w:val="24"/>
          <w:szCs w:val="24"/>
          <w:vertAlign w:val="subscript"/>
        </w:rPr>
        <w:t>5</w:t>
      </w:r>
      <w:r w:rsidRPr="00417A14">
        <w:rPr>
          <w:rFonts w:ascii="Times New Roman" w:hAnsi="Times New Roman"/>
          <w:sz w:val="24"/>
          <w:szCs w:val="24"/>
        </w:rPr>
        <w:t xml:space="preserve"> is similar to the observation of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&lt;EndNote&gt;&lt;Cite&gt;&lt;Author&gt;Giller&lt;/Author&gt;&lt;Year&gt;1997&lt;/Year&gt;&lt;RecNum&gt;23&lt;/RecNum&gt;&lt;DisplayText&gt;(Giller et al. 1997)&lt;/DisplayText&gt;&lt;record&gt;&lt;rec-number&gt;23&lt;/rec-number&gt;&lt;foreign-keys&gt;&lt;key app="EN" db-id="2vz9r9ed7zadxne0a0t5e5572x0farz0e0tp" timestamp="1561605787"&gt;23&lt;/key&gt;&lt;/foreign-keys&gt;&lt;ref-type name="Journal Article"&gt;17&lt;/ref-type&gt;&lt;contributors&gt;&lt;authors&gt;&lt;author&gt;Giller, Ken E&lt;/author&gt;&lt;author&gt;Cadisch, Georg&lt;/author&gt;&lt;author&gt;Ehaliotis, Costas&lt;/author&gt;&lt;author&gt;Adams, Edward&lt;/author&gt;&lt;author&gt;Sakala, Webster D&lt;/author&gt;&lt;author&gt;Mafongoya, Paramu L&lt;/author&gt;&lt;/authors&gt;&lt;/contributors&gt;&lt;titles&gt;&lt;title&gt;Building soil nitrogen capital in Africa&lt;/title&gt;&lt;secondary-title&gt;Replenishing soil fertility in Africa&lt;/secondary-title&gt;&lt;/titles&gt;&lt;pages&gt;151-192&lt;/pages&gt;&lt;number&gt;replenishingsoi&lt;/number&gt;&lt;dates&gt;&lt;year&gt;1997&lt;/year&gt;&lt;/dates&gt;&lt;isbn&gt;0891189467&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(Giller et al. 1997)</w:t>
      </w:r>
      <w:r w:rsidRPr="00417A14">
        <w:rPr>
          <w:rFonts w:ascii="Times New Roman" w:hAnsi="Times New Roman"/>
          <w:sz w:val="24"/>
          <w:szCs w:val="24"/>
        </w:rPr>
        <w:fldChar w:fldCharType="end"/>
      </w:r>
      <w:r w:rsidRPr="00417A14">
        <w:rPr>
          <w:rFonts w:ascii="Times New Roman" w:hAnsi="Times New Roman"/>
          <w:sz w:val="24"/>
          <w:szCs w:val="24"/>
        </w:rPr>
        <w:t xml:space="preserve"> that increase in P fertilizer application up to 30 kg P</w:t>
      </w:r>
      <w:r w:rsidRPr="00417A14">
        <w:rPr>
          <w:rFonts w:ascii="Times New Roman" w:hAnsi="Times New Roman"/>
          <w:sz w:val="24"/>
          <w:szCs w:val="24"/>
          <w:vertAlign w:val="subscript"/>
        </w:rPr>
        <w:t>2</w:t>
      </w:r>
      <w:r w:rsidRPr="00417A14">
        <w:rPr>
          <w:rFonts w:ascii="Times New Roman" w:hAnsi="Times New Roman"/>
          <w:sz w:val="24"/>
          <w:szCs w:val="24"/>
        </w:rPr>
        <w:t>O</w:t>
      </w:r>
      <w:r w:rsidRPr="00417A14">
        <w:rPr>
          <w:rFonts w:ascii="Times New Roman" w:hAnsi="Times New Roman"/>
          <w:sz w:val="24"/>
          <w:szCs w:val="24"/>
          <w:vertAlign w:val="subscript"/>
        </w:rPr>
        <w:t>5</w:t>
      </w:r>
      <w:r w:rsidRPr="00417A14">
        <w:rPr>
          <w:rFonts w:ascii="Times New Roman" w:hAnsi="Times New Roman"/>
          <w:sz w:val="24"/>
          <w:szCs w:val="24"/>
        </w:rPr>
        <w:t>/ha increased cowpea grain yield beyond yield reduction.  Yakubu</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&lt;EndNote&gt;&lt;Cite&gt;&lt;Author&gt;Yakubu&lt;/Author&gt;&lt;Year&gt;2010&lt;/Year&gt;&lt;RecNum&gt;17&lt;/RecNum&gt;&lt;DisplayText&gt;(Yakubu et al. 2010)&lt;/DisplayText&gt;&lt;record&gt;&lt;rec-number&gt;17&lt;/rec-number&gt;&lt;foreign-keys&gt;&lt;key app="EN" db-id="2vz9r9ed7zadxne0a0t5e5572x0farz0e0tp" timestamp="1561605382"&gt;17&lt;/key&gt;&lt;/foreign-keys&gt;&lt;ref-type name="Journal Article"&gt;17&lt;/ref-type&gt;&lt;contributors&gt;&lt;authors&gt;&lt;author&gt;Yakubu, H&lt;/author&gt;&lt;author&gt;Kwari, JD&lt;/author&gt;&lt;author&gt;Sandabe, MK&lt;/author&gt;&lt;/authors&gt;&lt;/contributors&gt;&lt;titles&gt;&lt;title&gt;Effect of phosphorus fertilizer on nitrogen fixation by some grain legume varieties in Sudano–Sahelian Zone of North Eastern Nigeria&lt;/title&gt;&lt;secondary-title&gt;Nigerian J. Basic Appl. Sci.&lt;/secondary-title&gt;&lt;/titles&gt;&lt;pages&gt;44-49&lt;/pages&gt;&lt;volume&gt;18&lt;/volume&gt;&lt;number&gt;1&lt;/number&gt;&lt;dates&gt;&lt;year&gt;2010&lt;/year&gt;&lt;/dates&gt;&lt;isbn&gt;0794-5698&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(Yakubu et al. 2010)</w:t>
      </w:r>
      <w:r w:rsidRPr="00417A14">
        <w:rPr>
          <w:rFonts w:ascii="Times New Roman" w:hAnsi="Times New Roman"/>
          <w:sz w:val="24"/>
          <w:szCs w:val="24"/>
        </w:rPr>
        <w:fldChar w:fldCharType="end"/>
      </w:r>
      <w:r w:rsidRPr="00417A14">
        <w:rPr>
          <w:rFonts w:ascii="Times New Roman" w:hAnsi="Times New Roman"/>
          <w:sz w:val="24"/>
          <w:szCs w:val="24"/>
        </w:rPr>
        <w:t xml:space="preserve"> however reported that addition of 40 kg P</w:t>
      </w:r>
      <w:r w:rsidRPr="00417A14">
        <w:rPr>
          <w:rFonts w:ascii="Times New Roman" w:hAnsi="Times New Roman"/>
          <w:sz w:val="24"/>
          <w:szCs w:val="24"/>
          <w:vertAlign w:val="subscript"/>
        </w:rPr>
        <w:t>2</w:t>
      </w:r>
      <w:r w:rsidRPr="00417A14">
        <w:rPr>
          <w:rFonts w:ascii="Times New Roman" w:hAnsi="Times New Roman"/>
          <w:sz w:val="24"/>
          <w:szCs w:val="24"/>
        </w:rPr>
        <w:t>O</w:t>
      </w:r>
      <w:r w:rsidRPr="00417A14">
        <w:rPr>
          <w:rFonts w:ascii="Times New Roman" w:hAnsi="Times New Roman"/>
          <w:sz w:val="24"/>
          <w:szCs w:val="24"/>
          <w:vertAlign w:val="subscript"/>
        </w:rPr>
        <w:t>5</w:t>
      </w:r>
      <w:r w:rsidRPr="00417A14">
        <w:rPr>
          <w:rFonts w:ascii="Times New Roman" w:hAnsi="Times New Roman"/>
          <w:sz w:val="24"/>
          <w:szCs w:val="24"/>
        </w:rPr>
        <w:t xml:space="preserve"> produced the highest cowpea grain yield in southern Guinea savanna and </w:t>
      </w:r>
      <w:proofErr w:type="spellStart"/>
      <w:r w:rsidRPr="00417A14">
        <w:rPr>
          <w:rFonts w:ascii="Times New Roman" w:hAnsi="Times New Roman"/>
          <w:sz w:val="24"/>
          <w:szCs w:val="24"/>
        </w:rPr>
        <w:t>Sudano</w:t>
      </w:r>
      <w:proofErr w:type="spellEnd"/>
      <w:r w:rsidRPr="00417A14">
        <w:rPr>
          <w:rFonts w:ascii="Times New Roman" w:hAnsi="Times New Roman"/>
          <w:sz w:val="24"/>
          <w:szCs w:val="24"/>
        </w:rPr>
        <w:t xml:space="preserve"> - Sahelian zones of Nigeria. Giller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&lt;EndNote&gt;&lt;Cite&gt;&lt;Author&gt;Giller&lt;/Author&gt;&lt;Year&gt;1997&lt;/Year&gt;&lt;RecNum&gt;23&lt;/RecNum&gt;&lt;DisplayText&gt;(Giller et al. 1997)&lt;/DisplayText&gt;&lt;record&gt;&lt;rec-number&gt;23&lt;/rec-number&gt;&lt;foreign-keys&gt;&lt;key app="EN" db-id="2vz9r9ed7zadxne0a0t5e5572x0farz0e0tp" timestamp="1561605787"&gt;23&lt;/key&gt;&lt;/foreign-keys&gt;&lt;ref-type name="Journal Article"&gt;17&lt;/ref-type&gt;&lt;contributors&gt;&lt;authors&gt;&lt;author&gt;Giller, Ken E&lt;/author&gt;&lt;author&gt;Cadisch, Georg&lt;/author&gt;&lt;author&gt;Ehaliotis, Costas&lt;/author&gt;&lt;author&gt;Adams, Edward&lt;/author&gt;&lt;author&gt;Sakala, Webster D&lt;/author&gt;&lt;author&gt;Mafongoya, Paramu L&lt;/author&gt;&lt;/authors&gt;&lt;/contributors&gt;&lt;titles&gt;&lt;title&gt;Building soil nitrogen capital in Africa&lt;/title&gt;&lt;secondary-title&gt;Replenishing soil fertility in Africa&lt;/secondary-title&gt;&lt;/titles&gt;&lt;pages&gt;151-192&lt;/pages&gt;&lt;number&gt;replenishingsoi&lt;/number&gt;&lt;dates&gt;&lt;year&gt;1997&lt;/year&gt;&lt;/dates&gt;&lt;isbn&gt;0891189467&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(Giller et al. 1997)</w:t>
      </w:r>
      <w:r w:rsidRPr="00417A14">
        <w:rPr>
          <w:rFonts w:ascii="Times New Roman" w:hAnsi="Times New Roman"/>
          <w:sz w:val="24"/>
          <w:szCs w:val="24"/>
        </w:rPr>
        <w:fldChar w:fldCharType="end"/>
      </w:r>
      <w:r w:rsidRPr="00417A14">
        <w:rPr>
          <w:rFonts w:ascii="Times New Roman" w:hAnsi="Times New Roman"/>
          <w:sz w:val="24"/>
          <w:szCs w:val="24"/>
        </w:rPr>
        <w:t xml:space="preserve"> earlier in 1997 stated that </w:t>
      </w:r>
      <w:r w:rsidR="00587A53" w:rsidRPr="00417A14">
        <w:rPr>
          <w:rFonts w:ascii="Times New Roman" w:hAnsi="Times New Roman"/>
          <w:sz w:val="24"/>
          <w:szCs w:val="24"/>
        </w:rPr>
        <w:t>soil P replacement should be accompanied by Soil N replacement to maintain crop production sustainably</w:t>
      </w:r>
      <w:r w:rsidRPr="00417A14">
        <w:rPr>
          <w:rFonts w:ascii="Times New Roman" w:hAnsi="Times New Roman"/>
          <w:sz w:val="24"/>
          <w:szCs w:val="24"/>
        </w:rPr>
        <w:t>. Similarly, the increase in grain yield obtained with the increase of K</w:t>
      </w:r>
      <w:r w:rsidRPr="00417A14">
        <w:rPr>
          <w:rFonts w:ascii="Times New Roman" w:hAnsi="Times New Roman"/>
          <w:sz w:val="24"/>
          <w:szCs w:val="24"/>
          <w:vertAlign w:val="subscript"/>
        </w:rPr>
        <w:t>2</w:t>
      </w:r>
      <w:r w:rsidRPr="00417A14">
        <w:rPr>
          <w:rFonts w:ascii="Times New Roman" w:hAnsi="Times New Roman"/>
          <w:sz w:val="24"/>
          <w:szCs w:val="24"/>
        </w:rPr>
        <w:t xml:space="preserve">O application rate from 10 to 20 kg/ha agreed with the report of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&lt;EndNote&gt;&lt;Cite&gt;&lt;Author&gt;Oliveira&lt;/Author&gt;&lt;Year&gt;2009&lt;/Year&gt;&lt;RecNum&gt;39&lt;/RecNum&gt;&lt;DisplayText&gt;(Oliveira 2009)&lt;/DisplayText&gt;&lt;record&gt;&lt;rec-number&gt;39&lt;/rec-number&gt;&lt;foreign-keys&gt;&lt;key app="EN" db-id="2vz9r9ed7zadxne0a0t5e5572x0farz0e0tp" timestamp="1561686341"&gt;39&lt;/key&gt;&lt;/foreign-keys&gt;&lt;ref-type name="Journal Article"&gt;17&lt;/ref-type&gt;&lt;contributors&gt;&lt;authors&gt;&lt;author&gt;Oliveira, A. P., Silva, J. A., Lopes, E. B., Silva, E. E., Araújo, L. E. A. and Ribeiro, V. V.&lt;/author&gt;&lt;/authors&gt;&lt;/contributors&gt;&lt;titles&gt;&lt;title&gt; Productive and economic yield of cowpea as affected by rates of potassium &lt;/title&gt;&lt;secondary-title&gt;Sci. Agrotechnology  &lt;/secondary-title&gt;&lt;/titles&gt;&lt;pages&gt;629-634.&lt;/pages&gt;&lt;volume&gt;33&lt;/volume&gt;&lt;dates&gt;&lt;year&gt;2009&lt;/year&gt;&lt;/dates&gt;&lt;urls&gt;&lt;/urls&gt;&lt;/record&gt;&lt;/Cite&gt;&lt;/EndNote&gt;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(Oliveira 2009)</w:t>
      </w:r>
      <w:r w:rsidRPr="00417A14">
        <w:rPr>
          <w:rFonts w:ascii="Times New Roman" w:hAnsi="Times New Roman"/>
          <w:sz w:val="24"/>
          <w:szCs w:val="24"/>
        </w:rPr>
        <w:fldChar w:fldCharType="end"/>
      </w:r>
      <w:r w:rsidRPr="00417A14">
        <w:rPr>
          <w:rFonts w:ascii="Times New Roman" w:hAnsi="Times New Roman"/>
          <w:sz w:val="24"/>
          <w:szCs w:val="24"/>
        </w:rPr>
        <w:t xml:space="preserve"> that obtained the best response of cowpea grain yield with the application of 20 and 40 K</w:t>
      </w:r>
      <w:r w:rsidRPr="00417A14">
        <w:rPr>
          <w:rFonts w:ascii="Times New Roman" w:hAnsi="Times New Roman"/>
          <w:sz w:val="24"/>
          <w:szCs w:val="24"/>
          <w:vertAlign w:val="subscript"/>
        </w:rPr>
        <w:t>2</w:t>
      </w:r>
      <w:r w:rsidRPr="00417A14">
        <w:rPr>
          <w:rFonts w:ascii="Times New Roman" w:hAnsi="Times New Roman"/>
          <w:sz w:val="24"/>
          <w:szCs w:val="24"/>
        </w:rPr>
        <w:t xml:space="preserve">O kg/ha. It has been argued that soils of the savanna zones of Ghana has the capacity of supply sufficient K for plant growth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&lt;EndNote&gt;&lt;Cite&gt;&lt;Author&gt;Buah&lt;/Author&gt;&lt;Year&gt;2012&lt;/Year&gt;&lt;RecNum&gt;880&lt;/RecNum&gt;&lt;DisplayText&gt;(Buah et al. 2012)&lt;/DisplayText&gt;&lt;record&gt;&lt;rec-number&gt;880&lt;/rec-number&gt;&lt;foreign-keys&gt;&lt;key app="EN" db-id="2vz9r9ed7zadxne0a0t5e5572x0farz0e0tp" timestamp="1594779197"&gt;880&lt;/key&gt;&lt;/foreign-keys&gt;&lt;ref-type name="Journal Article"&gt;17&lt;/ref-type&gt;&lt;contributors&gt;&lt;authors&gt;&lt;author&gt;Buah, Samuel Saaka Jeduah&lt;/author&gt;&lt;author&gt;Kombiok, James M&lt;/author&gt;&lt;author&gt;Abatania, Luke N&lt;/author&gt;&lt;/authors&gt;&lt;/contributors&gt;&lt;titles&gt;&lt;title&gt;Grain sorghum response to NPK fertilizer in the Guinea Savanna of Ghana&lt;/title&gt;&lt;secondary-title&gt;Journal of crop improvement&lt;/secondary-title&gt;&lt;/titles&gt;&lt;pages&gt;101-115&lt;/pages&gt;&lt;volume&gt;26&lt;/volume&gt;&lt;number&gt;1&lt;/number&gt;&lt;dates&gt;&lt;year&gt;2012&lt;/year&gt;&lt;/dates&gt;&lt;isbn&gt;1542-7528&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(Buah et al. 2012)</w:t>
      </w:r>
      <w:r w:rsidRPr="00417A14">
        <w:rPr>
          <w:rFonts w:ascii="Times New Roman" w:hAnsi="Times New Roman"/>
          <w:sz w:val="24"/>
          <w:szCs w:val="24"/>
        </w:rPr>
        <w:fldChar w:fldCharType="end"/>
      </w:r>
      <w:r w:rsidRPr="00417A14">
        <w:rPr>
          <w:rFonts w:ascii="Times New Roman" w:hAnsi="Times New Roman"/>
          <w:sz w:val="24"/>
          <w:szCs w:val="24"/>
        </w:rPr>
        <w:t xml:space="preserve">. However, there have been reported increase in yield of legumes in response to K fertilizer application </w:t>
      </w:r>
      <w:r w:rsidRPr="00417A14">
        <w:rPr>
          <w:rFonts w:ascii="Times New Roman" w:hAnsi="Times New Roman"/>
          <w:sz w:val="24"/>
          <w:szCs w:val="24"/>
        </w:rPr>
        <w:fldChar w:fldCharType="begin">
          <w:fldData xml:space="preserve">PEVuZE5vdGU+PENpdGU+PEF1dGhvcj5LYW50b248L0F1dGhvcj48WWVhcj4yMDE3PC9ZZWFyPjxS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</w:fldData>
        </w:fldChar>
      </w:r>
      <w:r w:rsidR="00417A14">
        <w:rPr>
          <w:rFonts w:ascii="Times New Roman" w:hAnsi="Times New Roman"/>
          <w:sz w:val="24"/>
          <w:szCs w:val="24"/>
        </w:rPr>
        <w:instrText xml:space="preserve"> ADDIN EN.CITE </w:instrText>
      </w:r>
      <w:r w:rsidR="00417A14">
        <w:rPr>
          <w:rFonts w:ascii="Times New Roman" w:hAnsi="Times New Roman"/>
          <w:sz w:val="24"/>
          <w:szCs w:val="24"/>
        </w:rPr>
        <w:fldChar w:fldCharType="begin">
          <w:fldData xml:space="preserve">PEVuZE5vdGU+PENpdGU+PEF1dGhvcj5LYW50b248L0F1dGhvcj48WWVhcj4yMDE3PC9ZZWFyPjxS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</w:fldData>
        </w:fldChar>
      </w:r>
      <w:r w:rsidR="00417A14">
        <w:rPr>
          <w:rFonts w:ascii="Times New Roman" w:hAnsi="Times New Roman"/>
          <w:sz w:val="24"/>
          <w:szCs w:val="24"/>
        </w:rPr>
        <w:instrText xml:space="preserve"> ADDIN EN.CITE.DATA </w:instrText>
      </w:r>
      <w:r w:rsidR="00417A14">
        <w:rPr>
          <w:rFonts w:ascii="Times New Roman" w:hAnsi="Times New Roman"/>
          <w:sz w:val="24"/>
          <w:szCs w:val="24"/>
        </w:rPr>
      </w:r>
      <w:r w:rsidR="00417A14">
        <w:rPr>
          <w:rFonts w:ascii="Times New Roman" w:hAnsi="Times New Roman"/>
          <w:sz w:val="24"/>
          <w:szCs w:val="24"/>
        </w:rPr>
        <w:fldChar w:fldCharType="end"/>
      </w:r>
      <w:r w:rsidRPr="00417A14">
        <w:rPr>
          <w:rFonts w:ascii="Times New Roman" w:hAnsi="Times New Roman"/>
          <w:sz w:val="24"/>
          <w:szCs w:val="24"/>
        </w:rPr>
      </w:r>
      <w:r w:rsidRPr="00417A14">
        <w:rPr>
          <w:rFonts w:ascii="Times New Roman" w:hAnsi="Times New Roman"/>
          <w:sz w:val="24"/>
          <w:szCs w:val="24"/>
        </w:rPr>
        <w:fldChar w:fldCharType="separate"/>
      </w:r>
      <w:r w:rsidRPr="00417A14">
        <w:rPr>
          <w:rFonts w:ascii="Times New Roman" w:hAnsi="Times New Roman"/>
          <w:noProof/>
          <w:sz w:val="24"/>
          <w:szCs w:val="24"/>
        </w:rPr>
        <w:t>(Abdul Rahman et al. 2018; Emmanuel et al. 2020; Kanton et al. 2017)</w:t>
      </w:r>
      <w:r w:rsidRPr="00417A14">
        <w:rPr>
          <w:rFonts w:ascii="Times New Roman" w:hAnsi="Times New Roman"/>
          <w:sz w:val="24"/>
          <w:szCs w:val="24"/>
        </w:rPr>
        <w:fldChar w:fldCharType="end"/>
      </w:r>
      <w:r w:rsidRPr="00417A14">
        <w:rPr>
          <w:rFonts w:ascii="Times New Roman" w:hAnsi="Times New Roman"/>
          <w:sz w:val="24"/>
          <w:szCs w:val="24"/>
        </w:rPr>
        <w:t xml:space="preserve">. Potassium could have contributed to better nutrition of cowpea in the area. Potassium enhances the activity of glutamine synthetase an enzyme found in the nodules that plays a key role in N metabolism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&lt;EndNote&gt;&lt;Cite&gt;&lt;Author&gt;Duke&lt;/Author&gt;&lt;Year&gt;2015&lt;/Year&gt;&lt;RecNum&gt;845&lt;/RecNum&gt;&lt;DisplayText&gt;(Duke and Collins 2015)&lt;/DisplayText&gt;&lt;record&gt;&lt;rec-number&gt;845&lt;/rec-number&gt;&lt;foreign-keys&gt;&lt;key app="EN" db-id="2vz9r9ed7zadxne0a0t5e5572x0farz0e0tp" timestamp="1590454516"&gt;845&lt;/key&gt;&lt;/foreign-keys&gt;&lt;ref-type name="Book Section"&gt;5&lt;/ref-type&gt;&lt;contributors&gt;&lt;authors&gt;&lt;author&gt;Duke, SH&lt;/author&gt;&lt;author&gt;Collins, M&lt;/author&gt;&lt;/authors&gt;&lt;secondary-authors&gt;&lt;author&gt;Munson, RD&lt;/author&gt;&lt;/secondary-authors&gt;&lt;/contributors&gt;&lt;titles&gt;&lt;title&gt;Role of Potassium in Legume Dinitrogen Fixation&lt;/title&gt;&lt;secondary-title&gt;Potassium in Agriculture&lt;/secondary-title&gt;&lt;/titles&gt;&lt;pages&gt;443-465&lt;/pages&gt;&lt;dates&gt;&lt;year&gt;2015&lt;/year&gt;&lt;/dates&gt;&lt;publisher&gt;ASA, CSSA, and SSSA Books,&lt;/publisher&gt;&lt;urls&gt;&lt;related-urls&gt;&lt;url&gt;https://acsess.onlinelibrary.wiley.com/doi/abs/10.2134/1985.potassium.c19&lt;/url&gt;&lt;/related-urls&gt;&lt;/urls&gt;&lt;electronic-resource-num&gt;10.2134/1985.potassium.c19&lt;/electronic-resource-num&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(Duke and Collins 2015)</w:t>
      </w:r>
      <w:r w:rsidRPr="00417A14">
        <w:rPr>
          <w:rFonts w:ascii="Times New Roman" w:hAnsi="Times New Roman"/>
          <w:sz w:val="24"/>
          <w:szCs w:val="24"/>
        </w:rPr>
        <w:fldChar w:fldCharType="end"/>
      </w:r>
      <w:r w:rsidRPr="00417A14">
        <w:rPr>
          <w:rFonts w:ascii="Times New Roman" w:hAnsi="Times New Roman"/>
          <w:sz w:val="24"/>
          <w:szCs w:val="24"/>
        </w:rPr>
        <w:t xml:space="preserve"> </w:t>
      </w:r>
    </w:p>
    <w:p w14:paraId="11E1534A" w14:textId="77777777" w:rsidR="00936876" w:rsidRPr="00417A14" w:rsidRDefault="00936876" w:rsidP="00936876">
      <w:pPr>
        <w:keepLines/>
        <w:tabs>
          <w:tab w:val="left" w:pos="0"/>
          <w:tab w:val="right" w:pos="3627"/>
          <w:tab w:val="right" w:pos="5265"/>
          <w:tab w:val="right" w:pos="6669"/>
        </w:tabs>
        <w:autoSpaceDE w:val="0"/>
        <w:autoSpaceDN w:val="0"/>
        <w:adjustRightInd w:val="0"/>
        <w:spacing w:after="0" w:line="480" w:lineRule="auto"/>
        <w:rPr>
          <w:rFonts w:ascii="Times New Roman" w:eastAsiaTheme="minorHAnsi" w:hAnsi="Times New Roman"/>
          <w:b/>
          <w:bCs/>
          <w:sz w:val="24"/>
          <w:szCs w:val="24"/>
          <w:lang w:val="en-AU"/>
        </w:rPr>
      </w:pPr>
      <w:r w:rsidRPr="00417A14">
        <w:rPr>
          <w:rFonts w:ascii="Times New Roman" w:hAnsi="Times New Roman"/>
          <w:b/>
          <w:bCs/>
          <w:sz w:val="24"/>
          <w:szCs w:val="24"/>
        </w:rPr>
        <w:t>Effect of fertilizer treatments on cowpea b</w:t>
      </w:r>
      <w:r w:rsidRPr="00417A14">
        <w:rPr>
          <w:rFonts w:ascii="Times New Roman" w:eastAsiaTheme="minorHAnsi" w:hAnsi="Times New Roman"/>
          <w:b/>
          <w:bCs/>
          <w:sz w:val="24"/>
          <w:szCs w:val="24"/>
          <w:lang w:val="en-AU"/>
        </w:rPr>
        <w:t xml:space="preserve">iomass yield </w:t>
      </w:r>
    </w:p>
    <w:p w14:paraId="0C450B83" w14:textId="398BB509" w:rsidR="00936876" w:rsidRPr="00417A14" w:rsidRDefault="00587A53" w:rsidP="00936876">
      <w:pPr>
        <w:spacing w:line="480" w:lineRule="auto"/>
        <w:jc w:val="both"/>
        <w:rPr>
          <w:rFonts w:ascii="Times New Roman" w:hAnsi="Times New Roman"/>
          <w:sz w:val="24"/>
          <w:szCs w:val="24"/>
        </w:rPr>
      </w:pPr>
      <w:r w:rsidRPr="00417A14">
        <w:rPr>
          <w:rFonts w:ascii="Times New Roman" w:hAnsi="Times New Roman"/>
          <w:sz w:val="24"/>
          <w:szCs w:val="24"/>
          <w:lang w:val="en-GB"/>
        </w:rPr>
        <w:t>This research underscores the assertion that applying</w:t>
      </w:r>
      <w:r w:rsidR="00936876" w:rsidRPr="00417A14">
        <w:rPr>
          <w:rFonts w:ascii="Times New Roman" w:hAnsi="Times New Roman"/>
          <w:sz w:val="24"/>
          <w:szCs w:val="24"/>
          <w:lang w:val="en-GB"/>
        </w:rPr>
        <w:t xml:space="preserve"> N fertilizer may be required for increased cowpea biomass production. </w:t>
      </w:r>
      <w:r w:rsidR="00936876" w:rsidRPr="00417A14">
        <w:rPr>
          <w:rFonts w:ascii="Times New Roman" w:hAnsi="Times New Roman"/>
          <w:sz w:val="24"/>
          <w:szCs w:val="24"/>
        </w:rPr>
        <w:fldChar w:fldCharType="begin"/>
      </w:r>
      <w:r w:rsidR="00936876" w:rsidRPr="00417A14">
        <w:rPr>
          <w:rFonts w:ascii="Times New Roman" w:hAnsi="Times New Roman"/>
          <w:sz w:val="24"/>
          <w:szCs w:val="24"/>
        </w:rPr>
        <w:instrText xml:space="preserve"> ADDIN EN.CITE &lt;EndNote&gt;&lt;Cite&gt;&lt;Author&gt;Bationo&lt;/Author&gt;&lt;Year&gt;2002&lt;/Year&gt;&lt;RecNum&gt;13&lt;/RecNum&gt;&lt;DisplayText&gt;(Bationo and Kumar 2002)&lt;/DisplayText&gt;&lt;record&gt;&lt;rec-number&gt;13&lt;/rec-number&gt;&lt;foreign-keys&gt;&lt;key app="EN" db-id="2vz9r9ed7zadxne0a0t5e5572x0farz0e0tp" timestamp="1561604406"&gt;13&lt;/key&gt;&lt;/foreign-keys&gt;&lt;ref-type name="Book Section"&gt;5&lt;/ref-type&gt;&lt;contributors&gt;&lt;authors&gt;&lt;author&gt;Bationo, André&lt;/author&gt;&lt;author&gt;Kumar, K Anand&lt;/author&gt;&lt;/authors&gt;&lt;/contributors&gt;&lt;titles&gt;&lt;title&gt;Phosphorus use efficiency as related to sources of P fertilizers, rainfall, soil, crop management, and genotypes in the West African semi-arid tropics&lt;/title&gt;&lt;secondary-title&gt;Food Security in Nutrient-Stressed Environments: Exploiting Plants’ Genetic Capabilities&lt;/secondary-title&gt;&lt;/titles&gt;&lt;pages&gt;145-154&lt;/pages&gt;&lt;dates&gt;&lt;year&gt;2002&lt;/year&gt;&lt;/dates&gt;&lt;publisher&gt;Springer&lt;/publisher&gt;&lt;urls&gt;&lt;/urls&gt;&lt;/record&gt;&lt;/Cite&gt;&lt;/EndNote&gt;</w:instrText>
      </w:r>
      <w:r w:rsidR="00936876" w:rsidRPr="00417A14">
        <w:rPr>
          <w:rFonts w:ascii="Times New Roman" w:hAnsi="Times New Roman"/>
          <w:sz w:val="24"/>
          <w:szCs w:val="24"/>
        </w:rPr>
        <w:fldChar w:fldCharType="separate"/>
      </w:r>
      <w:r w:rsidR="00936876" w:rsidRPr="00417A14">
        <w:rPr>
          <w:rFonts w:ascii="Times New Roman" w:hAnsi="Times New Roman"/>
          <w:noProof/>
          <w:sz w:val="24"/>
          <w:szCs w:val="24"/>
        </w:rPr>
        <w:t>(Bationo and Kumar 2002)</w:t>
      </w:r>
      <w:r w:rsidR="00936876" w:rsidRPr="00417A14">
        <w:rPr>
          <w:rFonts w:ascii="Times New Roman" w:hAnsi="Times New Roman"/>
          <w:sz w:val="24"/>
          <w:szCs w:val="24"/>
        </w:rPr>
        <w:fldChar w:fldCharType="end"/>
      </w:r>
      <w:r w:rsidR="00936876" w:rsidRPr="00417A14">
        <w:rPr>
          <w:rFonts w:ascii="Times New Roman" w:hAnsi="Times New Roman"/>
          <w:sz w:val="24"/>
          <w:szCs w:val="24"/>
        </w:rPr>
        <w:t xml:space="preserve"> reported that the application of fertilizers can triple cowpea biomass production. Also, </w:t>
      </w:r>
      <w:r w:rsidR="00936876" w:rsidRPr="00417A14">
        <w:rPr>
          <w:rFonts w:ascii="Times New Roman" w:hAnsi="Times New Roman"/>
          <w:sz w:val="24"/>
          <w:szCs w:val="24"/>
        </w:rPr>
        <w:fldChar w:fldCharType="begin"/>
      </w:r>
      <w:r w:rsidR="00936876" w:rsidRPr="00417A14">
        <w:rPr>
          <w:rFonts w:ascii="Times New Roman" w:hAnsi="Times New Roman"/>
          <w:sz w:val="24"/>
          <w:szCs w:val="24"/>
        </w:rPr>
        <w:instrText xml:space="preserve"> ADDIN EN.CITE &lt;EndNote&gt;&lt;Cite&gt;&lt;Author&gt;Azarpour&lt;/Author&gt;&lt;Year&gt;2011&lt;/Year&gt;&lt;RecNum&gt;24&lt;/RecNum&gt;&lt;DisplayText&gt;(Azarpour et al. 2011)&lt;/DisplayText&gt;&lt;record&gt;&lt;rec-number&gt;24&lt;/rec-number&gt;&lt;foreign-keys&gt;&lt;key app="EN" db-id="2vz9r9ed7zadxne0a0t5e5572x0farz0e0tp" timestamp="1561605882"&gt;24&lt;/key&gt;&lt;/foreign-keys&gt;&lt;ref-type name="Journal Article"&gt;17&lt;/ref-type&gt;&lt;contributors&gt;&lt;authors&gt;&lt;author&gt;Azarpour, E&lt;/author&gt;&lt;author&gt;Danesh, RK&lt;/author&gt;&lt;author&gt;Mohammadi, S&lt;/author&gt;&lt;author&gt;Bozorgi, HR&lt;/author&gt;&lt;author&gt;Moraditochaee, M&lt;/author&gt;&lt;/authors&gt;&lt;/contributors&gt;&lt;titles&gt;&lt;title&gt;&lt;style face="normal" font="default" size="100%"&gt;Effects of nitrogen fertilizer under foliar spraying of humic acid on yield and yield components of cowpea (&lt;/style&gt;&lt;style face="italic" font="default" size="100%"&gt;Vigna unguiculata&lt;/style&gt;&lt;style face="normal" font="default" size="100%"&gt;)&lt;/style&gt;&lt;/title&gt;&lt;secondary-title&gt;World Applied Sciences Journal&lt;/secondary-title&gt;&lt;/titles&gt;&lt;periodical&gt;&lt;full-title&gt;World Applied Sciences Journal&lt;/full-title&gt;&lt;abbr-1&gt;World Appl Sci J&lt;/abbr-1&gt;&lt;abbr-2&gt;World Appl. Sci. J&lt;/abbr-2&gt;&lt;/periodical&gt;&lt;pages&gt;1445-1449&lt;/pages&gt;&lt;volume&gt;13&lt;/volume&gt;&lt;number&gt;6&lt;/number&gt;&lt;dates&gt;&lt;year&gt;2011&lt;/year&gt;&lt;/dates&gt;&lt;isbn&gt;1818-4952&lt;/isbn&gt;&lt;urls&gt;&lt;/urls&gt;&lt;/record&gt;&lt;/Cite&gt;&lt;/EndNote&gt;</w:instrText>
      </w:r>
      <w:r w:rsidR="00936876" w:rsidRPr="00417A14">
        <w:rPr>
          <w:rFonts w:ascii="Times New Roman" w:hAnsi="Times New Roman"/>
          <w:sz w:val="24"/>
          <w:szCs w:val="24"/>
        </w:rPr>
        <w:fldChar w:fldCharType="separate"/>
      </w:r>
      <w:r w:rsidR="00936876" w:rsidRPr="00417A14">
        <w:rPr>
          <w:rFonts w:ascii="Times New Roman" w:hAnsi="Times New Roman"/>
          <w:noProof/>
          <w:sz w:val="24"/>
          <w:szCs w:val="24"/>
        </w:rPr>
        <w:t>(Azarpour et al. 2011)</w:t>
      </w:r>
      <w:r w:rsidR="00936876" w:rsidRPr="00417A14">
        <w:rPr>
          <w:rFonts w:ascii="Times New Roman" w:hAnsi="Times New Roman"/>
          <w:sz w:val="24"/>
          <w:szCs w:val="24"/>
        </w:rPr>
        <w:fldChar w:fldCharType="end"/>
      </w:r>
      <w:r w:rsidR="00936876" w:rsidRPr="00417A14">
        <w:rPr>
          <w:rFonts w:ascii="Times New Roman" w:hAnsi="Times New Roman"/>
          <w:sz w:val="24"/>
          <w:szCs w:val="24"/>
        </w:rPr>
        <w:t xml:space="preserve">  emphasized the contribution of applied N to cowpea biomass growth even though it can fix </w:t>
      </w:r>
      <w:r w:rsidR="00936876" w:rsidRPr="00417A14">
        <w:rPr>
          <w:rFonts w:ascii="Times New Roman" w:hAnsi="Times New Roman"/>
          <w:sz w:val="24"/>
          <w:szCs w:val="24"/>
        </w:rPr>
        <w:lastRenderedPageBreak/>
        <w:t xml:space="preserve">N. </w:t>
      </w:r>
      <w:proofErr w:type="spellStart"/>
      <w:r w:rsidR="00936876" w:rsidRPr="00417A14">
        <w:rPr>
          <w:rFonts w:ascii="Times New Roman" w:hAnsi="Times New Roman"/>
          <w:sz w:val="24"/>
          <w:szCs w:val="24"/>
        </w:rPr>
        <w:t>Bationo</w:t>
      </w:r>
      <w:proofErr w:type="spellEnd"/>
      <w:r w:rsidR="00936876" w:rsidRPr="00417A14">
        <w:rPr>
          <w:rFonts w:ascii="Times New Roman" w:hAnsi="Times New Roman"/>
          <w:sz w:val="24"/>
          <w:szCs w:val="24"/>
        </w:rPr>
        <w:t xml:space="preserve"> and </w:t>
      </w:r>
      <w:proofErr w:type="spellStart"/>
      <w:r w:rsidR="00936876" w:rsidRPr="00417A14">
        <w:rPr>
          <w:rFonts w:ascii="Times New Roman" w:hAnsi="Times New Roman"/>
          <w:sz w:val="24"/>
          <w:szCs w:val="24"/>
        </w:rPr>
        <w:t>Ntare</w:t>
      </w:r>
      <w:proofErr w:type="spellEnd"/>
      <w:r w:rsidR="00417A14" w:rsidRPr="00417A14">
        <w:rPr>
          <w:rFonts w:ascii="Times New Roman" w:hAnsi="Times New Roman"/>
          <w:sz w:val="24"/>
          <w:szCs w:val="24"/>
        </w:rPr>
        <w:t xml:space="preserve"> </w:t>
      </w:r>
      <w:r w:rsidR="00936876" w:rsidRPr="00417A14">
        <w:rPr>
          <w:rFonts w:ascii="Times New Roman" w:hAnsi="Times New Roman"/>
          <w:sz w:val="24"/>
          <w:szCs w:val="24"/>
        </w:rPr>
        <w:fldChar w:fldCharType="begin"/>
      </w:r>
      <w:r w:rsidR="00936876" w:rsidRPr="00417A14">
        <w:rPr>
          <w:rFonts w:ascii="Times New Roman" w:hAnsi="Times New Roman"/>
          <w:sz w:val="24"/>
          <w:szCs w:val="24"/>
        </w:rPr>
        <w:instrText xml:space="preserve"> ADDIN EN.CITE &lt;EndNote&gt;&lt;Cite&gt;&lt;Author&gt;Bationo&lt;/Author&gt;&lt;Year&gt;2000&lt;/Year&gt;&lt;RecNum&gt;41&lt;/RecNum&gt;&lt;DisplayText&gt;(Bationo and Ntare 2000)&lt;/DisplayText&gt;&lt;record&gt;&lt;rec-number&gt;41&lt;/rec-number&gt;&lt;foreign-keys&gt;&lt;key app="EN" db-id="2vz9r9ed7zadxne0a0t5e5572x0farz0e0tp" timestamp="1561688163"&gt;41&lt;/key&gt;&lt;/foreign-keys&gt;&lt;ref-type name="Journal Article"&gt;17&lt;/ref-type&gt;&lt;contributors&gt;&lt;authors&gt;&lt;author&gt;Bationo, André&lt;/author&gt;&lt;author&gt;Ntare, BR&lt;/author&gt;&lt;/authors&gt;&lt;/contributors&gt;&lt;titles&gt;&lt;title&gt;Rotation and nitrogen fertilizer effects on pearl millet, cowpea and groundnut yield and soil chemical properties in a sandy soil in the semi-arid tropics, West Africa&lt;/title&gt;&lt;secondary-title&gt;The J. Agri. sci.&lt;/secondary-title&gt;&lt;/titles&gt;&lt;pages&gt;277-284&lt;/pages&gt;&lt;volume&gt;134&lt;/volume&gt;&lt;number&gt;3&lt;/number&gt;&lt;dates&gt;&lt;year&gt;2000&lt;/year&gt;&lt;/dates&gt;&lt;isbn&gt;1469-5146&lt;/isbn&gt;&lt;urls&gt;&lt;/urls&gt;&lt;/record&gt;&lt;/Cite&gt;&lt;/EndNote&gt;</w:instrText>
      </w:r>
      <w:r w:rsidR="00936876" w:rsidRPr="00417A14">
        <w:rPr>
          <w:rFonts w:ascii="Times New Roman" w:hAnsi="Times New Roman"/>
          <w:sz w:val="24"/>
          <w:szCs w:val="24"/>
        </w:rPr>
        <w:fldChar w:fldCharType="separate"/>
      </w:r>
      <w:r w:rsidR="00936876" w:rsidRPr="00417A14">
        <w:rPr>
          <w:rFonts w:ascii="Times New Roman" w:hAnsi="Times New Roman"/>
          <w:noProof/>
          <w:sz w:val="24"/>
          <w:szCs w:val="24"/>
        </w:rPr>
        <w:t>(Bationo and Ntare 2000)</w:t>
      </w:r>
      <w:r w:rsidR="00936876" w:rsidRPr="00417A14">
        <w:rPr>
          <w:rFonts w:ascii="Times New Roman" w:hAnsi="Times New Roman"/>
          <w:sz w:val="24"/>
          <w:szCs w:val="24"/>
        </w:rPr>
        <w:fldChar w:fldCharType="end"/>
      </w:r>
      <w:r w:rsidR="00936876" w:rsidRPr="00417A14">
        <w:rPr>
          <w:rFonts w:ascii="Times New Roman" w:hAnsi="Times New Roman"/>
          <w:sz w:val="24"/>
          <w:szCs w:val="24"/>
        </w:rPr>
        <w:t xml:space="preserve"> reported an increase in cowpea biomass with </w:t>
      </w:r>
      <w:proofErr w:type="spellStart"/>
      <w:r w:rsidR="00936876" w:rsidRPr="00417A14">
        <w:rPr>
          <w:rFonts w:ascii="Times New Roman" w:hAnsi="Times New Roman"/>
          <w:sz w:val="24"/>
          <w:szCs w:val="24"/>
        </w:rPr>
        <w:t>N</w:t>
      </w:r>
      <w:proofErr w:type="spellEnd"/>
      <w:r w:rsidR="00936876" w:rsidRPr="00417A14">
        <w:rPr>
          <w:rFonts w:ascii="Times New Roman" w:hAnsi="Times New Roman"/>
          <w:sz w:val="24"/>
          <w:szCs w:val="24"/>
        </w:rPr>
        <w:t xml:space="preserve"> application up to 45 kg/ha. </w:t>
      </w:r>
      <w:r w:rsidR="00936876" w:rsidRPr="00417A14">
        <w:rPr>
          <w:rFonts w:ascii="Times New Roman" w:hAnsi="Times New Roman"/>
          <w:sz w:val="24"/>
          <w:szCs w:val="24"/>
          <w:lang w:val="en-GB"/>
        </w:rPr>
        <w:t xml:space="preserve">Even though cowpea biomass forms part of the crop residues that are usually incorporated into the soil the following cropping season, application of N must be at the recommended rate to avoid high biomass production at the expense of grain yield which is of more interest to farmers in the study area.  Farmers in this area use blanket fertilizer recommendation mostly urea. This has led to low returns on investment due to the low yield obtained. The low yield could be attributed to the unbalance nutrient supply to cowpea. </w:t>
      </w:r>
      <w:r w:rsidR="00936876" w:rsidRPr="00417A14">
        <w:rPr>
          <w:rFonts w:ascii="Times New Roman" w:hAnsi="Times New Roman"/>
          <w:sz w:val="24"/>
          <w:szCs w:val="24"/>
        </w:rPr>
        <w:t xml:space="preserve">The increase in biomass due to increasing P application from 15 kg/ha to 45 kg/ha could be linked to the report </w:t>
      </w:r>
      <w:r w:rsidR="00936876" w:rsidRPr="00417A14">
        <w:rPr>
          <w:rFonts w:ascii="Times New Roman" w:hAnsi="Times New Roman"/>
          <w:sz w:val="24"/>
          <w:szCs w:val="24"/>
        </w:rPr>
        <w:fldChar w:fldCharType="begin"/>
      </w:r>
      <w:r w:rsidR="00936876" w:rsidRPr="00417A14">
        <w:rPr>
          <w:rFonts w:ascii="Times New Roman" w:hAnsi="Times New Roman"/>
          <w:sz w:val="24"/>
          <w:szCs w:val="24"/>
        </w:rPr>
        <w:instrText xml:space="preserve"> ADDIN EN.CITE &lt;EndNote&gt;&lt;Cite&gt;&lt;Author&gt;Sinclair&lt;/Author&gt;&lt;Year&gt;2002&lt;/Year&gt;&lt;RecNum&gt;26&lt;/RecNum&gt;&lt;DisplayText&gt;(Sinclair and Vadez 2002)&lt;/DisplayText&gt;&lt;record&gt;&lt;rec-number&gt;26&lt;/rec-number&gt;&lt;foreign-keys&gt;&lt;key app="EN" db-id="2vz9r9ed7zadxne0a0t5e5572x0farz0e0tp" timestamp="1561605959"&gt;26&lt;/key&gt;&lt;/foreign-keys&gt;&lt;ref-type name="Journal Article"&gt;17&lt;/ref-type&gt;&lt;contributors&gt;&lt;authors&gt;&lt;author&gt;Sinclair, Thomas R&lt;/author&gt;&lt;author&gt;Vadez, Vincent&lt;/author&gt;&lt;/authors&gt;&lt;/contributors&gt;&lt;titles&gt;&lt;title&gt;Physiological traits for crop yield improvement in low N and P environments&lt;/title&gt;&lt;secondary-title&gt;Plant and Soil&lt;/secondary-title&gt;&lt;/titles&gt;&lt;periodical&gt;&lt;full-title&gt;Plant and Soil&lt;/full-title&gt;&lt;abbr-1&gt;Plant Soil&lt;/abbr-1&gt;&lt;abbr-2&gt;Plant Soil&lt;/abbr-2&gt;&lt;/periodical&gt;&lt;pages&gt;1-15&lt;/pages&gt;&lt;volume&gt;245&lt;/volume&gt;&lt;number&gt;1&lt;/number&gt;&lt;dates&gt;&lt;year&gt;2002&lt;/year&gt;&lt;/dates&gt;&lt;isbn&gt;0032-079X&lt;/isbn&gt;&lt;urls&gt;&lt;/urls&gt;&lt;/record&gt;&lt;/Cite&gt;&lt;/EndNote&gt;</w:instrText>
      </w:r>
      <w:r w:rsidR="00936876" w:rsidRPr="00417A14">
        <w:rPr>
          <w:rFonts w:ascii="Times New Roman" w:hAnsi="Times New Roman"/>
          <w:sz w:val="24"/>
          <w:szCs w:val="24"/>
        </w:rPr>
        <w:fldChar w:fldCharType="separate"/>
      </w:r>
      <w:r w:rsidR="00936876" w:rsidRPr="00417A14">
        <w:rPr>
          <w:rFonts w:ascii="Times New Roman" w:hAnsi="Times New Roman"/>
          <w:noProof/>
          <w:sz w:val="24"/>
          <w:szCs w:val="24"/>
        </w:rPr>
        <w:t>(Sinclair and Vadez 2002)</w:t>
      </w:r>
      <w:r w:rsidR="00936876" w:rsidRPr="00417A14">
        <w:rPr>
          <w:rFonts w:ascii="Times New Roman" w:hAnsi="Times New Roman"/>
          <w:sz w:val="24"/>
          <w:szCs w:val="24"/>
        </w:rPr>
        <w:fldChar w:fldCharType="end"/>
      </w:r>
      <w:r w:rsidR="00936876" w:rsidRPr="00417A14">
        <w:rPr>
          <w:rFonts w:ascii="Times New Roman" w:hAnsi="Times New Roman"/>
          <w:sz w:val="24"/>
          <w:szCs w:val="24"/>
        </w:rPr>
        <w:t xml:space="preserve"> which stated that</w:t>
      </w:r>
      <w:r w:rsidR="00936876" w:rsidRPr="00417A14">
        <w:rPr>
          <w:rFonts w:ascii="Times New Roman" w:hAnsi="Times New Roman"/>
          <w:sz w:val="24"/>
          <w:szCs w:val="24"/>
          <w:lang w:val="en-GB"/>
        </w:rPr>
        <w:t xml:space="preserve"> phosphorus</w:t>
      </w:r>
      <w:r w:rsidR="00936876" w:rsidRPr="00417A14">
        <w:rPr>
          <w:rFonts w:ascii="Times New Roman" w:hAnsi="Times New Roman"/>
          <w:sz w:val="24"/>
          <w:szCs w:val="24"/>
        </w:rPr>
        <w:t xml:space="preserve"> </w:t>
      </w:r>
      <w:r w:rsidR="00936876" w:rsidRPr="00417A14">
        <w:rPr>
          <w:rStyle w:val="headword"/>
          <w:rFonts w:ascii="Times New Roman" w:hAnsi="Times New Roman"/>
          <w:b w:val="0"/>
          <w:bCs w:val="0"/>
          <w:color w:val="auto"/>
          <w:sz w:val="24"/>
          <w:szCs w:val="24"/>
        </w:rPr>
        <w:t>deficiency</w:t>
      </w:r>
      <w:r w:rsidR="00936876" w:rsidRPr="00417A14">
        <w:rPr>
          <w:rFonts w:ascii="Times New Roman" w:hAnsi="Times New Roman"/>
          <w:sz w:val="24"/>
          <w:szCs w:val="24"/>
        </w:rPr>
        <w:t xml:space="preserve"> </w:t>
      </w:r>
      <w:r w:rsidR="00936876" w:rsidRPr="00417A14">
        <w:rPr>
          <w:rFonts w:ascii="Times New Roman" w:hAnsi="Times New Roman"/>
          <w:sz w:val="24"/>
          <w:szCs w:val="24"/>
          <w:lang w:val="en-GB"/>
        </w:rPr>
        <w:t xml:space="preserve">resulted in stunted shoot and root growth due to reduced cell division and enlargement. </w:t>
      </w:r>
      <w:r w:rsidR="00936876" w:rsidRPr="00417A14">
        <w:rPr>
          <w:rFonts w:ascii="Times New Roman" w:hAnsi="Times New Roman"/>
          <w:sz w:val="24"/>
          <w:szCs w:val="24"/>
        </w:rPr>
        <w:t xml:space="preserve">Potassium also enhanced </w:t>
      </w:r>
      <w:r w:rsidRPr="00417A14">
        <w:rPr>
          <w:rFonts w:ascii="Times New Roman" w:hAnsi="Times New Roman"/>
          <w:sz w:val="24"/>
          <w:szCs w:val="24"/>
        </w:rPr>
        <w:t>cowpea's biomass accumulation</w:t>
      </w:r>
      <w:r w:rsidR="00936876" w:rsidRPr="00417A14">
        <w:rPr>
          <w:rFonts w:ascii="Times New Roman" w:hAnsi="Times New Roman"/>
          <w:sz w:val="24"/>
          <w:szCs w:val="24"/>
        </w:rPr>
        <w:t xml:space="preserve"> as was observed with an increase from 10 to 20 kg/ha. Ayodele and Oso </w:t>
      </w:r>
      <w:r w:rsidR="00936876" w:rsidRPr="00417A14">
        <w:rPr>
          <w:rFonts w:ascii="Times New Roman" w:hAnsi="Times New Roman"/>
          <w:sz w:val="24"/>
          <w:szCs w:val="24"/>
        </w:rPr>
        <w:fldChar w:fldCharType="begin"/>
      </w:r>
      <w:r w:rsidR="00936876" w:rsidRPr="00417A14">
        <w:rPr>
          <w:rFonts w:ascii="Times New Roman" w:hAnsi="Times New Roman"/>
          <w:sz w:val="24"/>
          <w:szCs w:val="24"/>
        </w:rPr>
        <w:instrText xml:space="preserve"> ADDIN EN.CITE &lt;EndNote&gt;&lt;Cite&gt;&lt;Author&gt;Ayodele&lt;/Author&gt;&lt;Year&gt;2014&lt;/Year&gt;&lt;RecNum&gt;27&lt;/RecNum&gt;&lt;DisplayText&gt;(Ayodele and Oso 2014)&lt;/DisplayText&gt;&lt;record&gt;&lt;rec-number&gt;27&lt;/rec-number&gt;&lt;foreign-keys&gt;&lt;key app="EN" db-id="2vz9r9ed7zadxne0a0t5e5572x0farz0e0tp" timestamp="1561606011"&gt;27&lt;/key&gt;&lt;/foreign-keys&gt;&lt;ref-type name="Journal Article"&gt;17&lt;/ref-type&gt;&lt;contributors&gt;&lt;authors&gt;&lt;author&gt;Ayodele, OJ&lt;/author&gt;&lt;author&gt;Oso, AA&lt;/author&gt;&lt;/authors&gt;&lt;/contributors&gt;&lt;titles&gt;&lt;title&gt;Cowpea responses to phosphorus fertilizer application at Ado-Ekiti, south-west Nigeria&lt;/title&gt;&lt;secondary-title&gt;J. Appl. Sci. Agri.&lt;/secondary-title&gt;&lt;/titles&gt;&lt;pages&gt;485-489&lt;/pages&gt;&lt;volume&gt;9&lt;/volume&gt;&lt;number&gt;2&lt;/number&gt;&lt;dates&gt;&lt;year&gt;2014&lt;/year&gt;&lt;/dates&gt;&lt;isbn&gt;1816-9112&lt;/isbn&gt;&lt;urls&gt;&lt;/urls&gt;&lt;/record&gt;&lt;/Cite&gt;&lt;/EndNote&gt;</w:instrText>
      </w:r>
      <w:r w:rsidR="00936876" w:rsidRPr="00417A14">
        <w:rPr>
          <w:rFonts w:ascii="Times New Roman" w:hAnsi="Times New Roman"/>
          <w:sz w:val="24"/>
          <w:szCs w:val="24"/>
        </w:rPr>
        <w:fldChar w:fldCharType="separate"/>
      </w:r>
      <w:r w:rsidR="00936876" w:rsidRPr="00417A14">
        <w:rPr>
          <w:rFonts w:ascii="Times New Roman" w:hAnsi="Times New Roman"/>
          <w:noProof/>
          <w:sz w:val="24"/>
          <w:szCs w:val="24"/>
        </w:rPr>
        <w:t>(Ayodele and Oso 2014)</w:t>
      </w:r>
      <w:r w:rsidR="00936876" w:rsidRPr="00417A14">
        <w:rPr>
          <w:rFonts w:ascii="Times New Roman" w:hAnsi="Times New Roman"/>
          <w:sz w:val="24"/>
          <w:szCs w:val="24"/>
        </w:rPr>
        <w:fldChar w:fldCharType="end"/>
      </w:r>
      <w:r w:rsidR="00936876" w:rsidRPr="00417A14">
        <w:rPr>
          <w:rFonts w:ascii="Times New Roman" w:hAnsi="Times New Roman"/>
          <w:sz w:val="24"/>
          <w:szCs w:val="24"/>
        </w:rPr>
        <w:t xml:space="preserve"> also reported that P fertilizer increased vegetative growth of cowpea when applied with basal N and K</w:t>
      </w:r>
      <w:r w:rsidR="00936876" w:rsidRPr="00417A14">
        <w:rPr>
          <w:rFonts w:ascii="Times New Roman" w:hAnsi="Times New Roman"/>
          <w:sz w:val="24"/>
          <w:szCs w:val="24"/>
          <w:vertAlign w:val="subscript"/>
        </w:rPr>
        <w:t>2</w:t>
      </w:r>
      <w:r w:rsidR="00936876" w:rsidRPr="00417A14">
        <w:rPr>
          <w:rFonts w:ascii="Times New Roman" w:hAnsi="Times New Roman"/>
          <w:sz w:val="24"/>
          <w:szCs w:val="24"/>
        </w:rPr>
        <w:t>O than P alone. The higher biomass yield obtained in the second cropping season could be due to better rainfall at the onset of the 2013 season.</w:t>
      </w:r>
    </w:p>
    <w:p w14:paraId="4FD75AF5" w14:textId="77777777" w:rsidR="00936876" w:rsidRPr="00417A14" w:rsidRDefault="00936876" w:rsidP="00936876">
      <w:pPr>
        <w:tabs>
          <w:tab w:val="left" w:pos="8130"/>
        </w:tabs>
        <w:spacing w:before="240" w:line="480" w:lineRule="auto"/>
        <w:jc w:val="both"/>
        <w:rPr>
          <w:rFonts w:ascii="Times New Roman" w:hAnsi="Times New Roman"/>
          <w:b/>
          <w:bCs/>
          <w:sz w:val="24"/>
          <w:szCs w:val="24"/>
        </w:rPr>
      </w:pPr>
      <w:r w:rsidRPr="00417A14">
        <w:rPr>
          <w:rFonts w:ascii="Times New Roman" w:hAnsi="Times New Roman"/>
          <w:b/>
          <w:bCs/>
          <w:sz w:val="24"/>
          <w:szCs w:val="24"/>
        </w:rPr>
        <w:t xml:space="preserve">Effect of fertilizer treatments on cowpea nutrient uptake </w:t>
      </w:r>
    </w:p>
    <w:p w14:paraId="13C955F4" w14:textId="2123FA9C" w:rsidR="00936876" w:rsidRPr="00417A14" w:rsidRDefault="00936876" w:rsidP="00936876">
      <w:pPr>
        <w:tabs>
          <w:tab w:val="left" w:pos="8130"/>
        </w:tabs>
        <w:spacing w:before="240" w:line="480" w:lineRule="auto"/>
        <w:jc w:val="both"/>
        <w:rPr>
          <w:rFonts w:ascii="Times New Roman" w:hAnsi="Times New Roman"/>
          <w:sz w:val="24"/>
          <w:szCs w:val="24"/>
        </w:rPr>
      </w:pPr>
      <w:r w:rsidRPr="00417A14">
        <w:rPr>
          <w:rFonts w:ascii="Times New Roman" w:hAnsi="Times New Roman"/>
          <w:sz w:val="24"/>
          <w:szCs w:val="24"/>
        </w:rPr>
        <w:t xml:space="preserve">The plant N concentration in response to increased soil P supply was observed in </w:t>
      </w:r>
      <w:r w:rsidR="00587A53" w:rsidRPr="00417A14">
        <w:rPr>
          <w:rFonts w:ascii="Times New Roman" w:hAnsi="Times New Roman"/>
          <w:sz w:val="24"/>
          <w:szCs w:val="24"/>
        </w:rPr>
        <w:t>20-30-20, 20-45-20 and 30-45-30 kg/ha N, P2O5, and</w:t>
      </w:r>
      <w:r w:rsidRPr="00417A14">
        <w:rPr>
          <w:rFonts w:ascii="Times New Roman" w:hAnsi="Times New Roman"/>
          <w:sz w:val="24"/>
          <w:szCs w:val="24"/>
        </w:rPr>
        <w:t xml:space="preserve"> K</w:t>
      </w:r>
      <w:r w:rsidRPr="00417A14">
        <w:rPr>
          <w:rFonts w:ascii="Times New Roman" w:hAnsi="Times New Roman"/>
          <w:sz w:val="24"/>
          <w:szCs w:val="24"/>
          <w:vertAlign w:val="subscript"/>
        </w:rPr>
        <w:t>2</w:t>
      </w:r>
      <w:r w:rsidRPr="00417A14">
        <w:rPr>
          <w:rFonts w:ascii="Times New Roman" w:hAnsi="Times New Roman"/>
          <w:sz w:val="24"/>
          <w:szCs w:val="24"/>
        </w:rPr>
        <w:t xml:space="preserve">O. This agrees with </w:t>
      </w:r>
      <w:proofErr w:type="spellStart"/>
      <w:r w:rsidR="00587A53" w:rsidRPr="00417A14">
        <w:rPr>
          <w:rFonts w:ascii="Times New Roman" w:hAnsi="Times New Roman"/>
          <w:sz w:val="24"/>
          <w:szCs w:val="24"/>
        </w:rPr>
        <w:t>Sanginga</w:t>
      </w:r>
      <w:proofErr w:type="spellEnd"/>
      <w:r w:rsidR="00587A53" w:rsidRPr="00417A14">
        <w:rPr>
          <w:rFonts w:ascii="Times New Roman" w:hAnsi="Times New Roman"/>
          <w:sz w:val="24"/>
          <w:szCs w:val="24"/>
        </w:rPr>
        <w:t xml:space="preserve"> et al. 2000) report</w:t>
      </w:r>
      <w:r w:rsidRPr="00417A14">
        <w:rPr>
          <w:rFonts w:ascii="Times New Roman" w:hAnsi="Times New Roman"/>
          <w:sz w:val="24"/>
          <w:szCs w:val="24"/>
        </w:rPr>
        <w:t xml:space="preserve"> where P might have played some roles in increasing the mobility of N-ion in plant tissue. There is</w:t>
      </w:r>
      <w:r w:rsidR="00587A53" w:rsidRPr="00417A14">
        <w:rPr>
          <w:rFonts w:ascii="Times New Roman" w:hAnsi="Times New Roman"/>
          <w:sz w:val="24"/>
          <w:szCs w:val="24"/>
        </w:rPr>
        <w:t>,</w:t>
      </w:r>
      <w:r w:rsidRPr="00417A14">
        <w:rPr>
          <w:rFonts w:ascii="Times New Roman" w:hAnsi="Times New Roman"/>
          <w:sz w:val="24"/>
          <w:szCs w:val="24"/>
        </w:rPr>
        <w:t xml:space="preserve"> however</w:t>
      </w:r>
      <w:r w:rsidR="00587A53" w:rsidRPr="00417A14">
        <w:rPr>
          <w:rFonts w:ascii="Times New Roman" w:hAnsi="Times New Roman"/>
          <w:sz w:val="24"/>
          <w:szCs w:val="24"/>
        </w:rPr>
        <w:t>,</w:t>
      </w:r>
      <w:r w:rsidRPr="00417A14">
        <w:rPr>
          <w:rFonts w:ascii="Times New Roman" w:hAnsi="Times New Roman"/>
          <w:sz w:val="24"/>
          <w:szCs w:val="24"/>
        </w:rPr>
        <w:t xml:space="preserve"> the need to confirm this in independent research. </w:t>
      </w:r>
      <w:proofErr w:type="spellStart"/>
      <w:r w:rsidRPr="00417A14">
        <w:rPr>
          <w:rFonts w:ascii="Times New Roman" w:hAnsi="Times New Roman"/>
          <w:sz w:val="24"/>
          <w:szCs w:val="24"/>
        </w:rPr>
        <w:t>Sanginga</w:t>
      </w:r>
      <w:proofErr w:type="spellEnd"/>
      <w:r w:rsidRPr="00417A14">
        <w:rPr>
          <w:rFonts w:ascii="Times New Roman" w:hAnsi="Times New Roman"/>
          <w:sz w:val="24"/>
          <w:szCs w:val="24"/>
        </w:rPr>
        <w:t xml:space="preserve"> et al.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&lt;EndNote&gt;&lt;Cite&gt;&lt;Author&gt;Sanginga&lt;/Author&gt;&lt;Year&gt;2000&lt;/Year&gt;&lt;RecNum&gt;30&lt;/RecNum&gt;&lt;DisplayText&gt;(Sanginga et al. 2000)&lt;/DisplayText&gt;&lt;record&gt;&lt;rec-number&gt;30&lt;/rec-number&gt;&lt;foreign-keys&gt;&lt;key app="EN" db-id="2vz9r9ed7zadxne0a0t5e5572x0farz0e0tp" timestamp="1561606241"&gt;30&lt;/key&gt;&lt;/foreign-keys&gt;&lt;ref-type name="Journal Article"&gt;17&lt;/ref-type&gt;&lt;contributors&gt;&lt;authors&gt;&lt;author&gt;Sanginga, N&lt;/author&gt;&lt;author&gt;Lyasse, O&lt;/author&gt;&lt;author&gt;Singh, BB&lt;/author&gt;&lt;/authors&gt;&lt;/contributors&gt;&lt;titles&gt;&lt;title&gt;Phosphorus use efficiency and nitrogen balance of cowpea breeding lines in a low P soil of the derived savanna zone in West Africa&lt;/title&gt;&lt;secondary-title&gt;Plant and Soil&lt;/secondary-title&gt;&lt;/titles&gt;&lt;periodical&gt;&lt;full-title&gt;Plant and Soil&lt;/full-title&gt;&lt;abbr-1&gt;Plant Soil&lt;/abbr-1&gt;&lt;abbr-2&gt;Plant Soil&lt;/abbr-2&gt;&lt;/periodical&gt;&lt;pages&gt;119&lt;/pages&gt;&lt;volume&gt;220&lt;/volume&gt;&lt;number&gt;1-2&lt;/number&gt;&lt;dates&gt;&lt;year&gt;2000&lt;/year&gt;&lt;/dates&gt;&lt;isbn&gt;0032-079X&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(Sanginga et al. 2000)</w:t>
      </w:r>
      <w:r w:rsidRPr="00417A14">
        <w:rPr>
          <w:rFonts w:ascii="Times New Roman" w:hAnsi="Times New Roman"/>
          <w:sz w:val="24"/>
          <w:szCs w:val="24"/>
        </w:rPr>
        <w:fldChar w:fldCharType="end"/>
      </w:r>
      <w:r w:rsidRPr="00417A14">
        <w:rPr>
          <w:rFonts w:ascii="Times New Roman" w:hAnsi="Times New Roman"/>
          <w:sz w:val="24"/>
          <w:szCs w:val="24"/>
        </w:rPr>
        <w:t xml:space="preserve"> also reported a significant increase in total P accumulation by cowpea when 20 kg P/ha was applied. Since N and P accumulations are </w:t>
      </w:r>
      <w:r w:rsidR="00587A53" w:rsidRPr="00417A14">
        <w:rPr>
          <w:rFonts w:ascii="Times New Roman" w:hAnsi="Times New Roman"/>
          <w:sz w:val="24"/>
          <w:szCs w:val="24"/>
        </w:rPr>
        <w:t>vital</w:t>
      </w:r>
      <w:r w:rsidRPr="00417A14">
        <w:rPr>
          <w:rFonts w:ascii="Times New Roman" w:hAnsi="Times New Roman"/>
          <w:sz w:val="24"/>
          <w:szCs w:val="24"/>
        </w:rPr>
        <w:t xml:space="preserve"> in achieving optimum crop yields, it could be responsible for the inherent ability of crops nutrient uptake systems. This system ensures the effective recovery of available soil N and P through natural selection </w:t>
      </w:r>
      <w:r w:rsidRPr="00417A14">
        <w:rPr>
          <w:rFonts w:ascii="Times New Roman" w:hAnsi="Times New Roman"/>
          <w:sz w:val="24"/>
          <w:szCs w:val="24"/>
        </w:rPr>
        <w:lastRenderedPageBreak/>
        <w:t xml:space="preserve">or breeders selection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&lt;EndNote&gt;&lt;Cite&gt;&lt;Author&gt;Sinclair&lt;/Author&gt;&lt;Year&gt;2002&lt;/Year&gt;&lt;RecNum&gt;26&lt;/RecNum&gt;&lt;DisplayText&gt;(Sinclair and Vadez 2002)&lt;/DisplayText&gt;&lt;record&gt;&lt;rec-number&gt;26&lt;/rec-number&gt;&lt;foreign-keys&gt;&lt;key app="EN" db-id="2vz9r9ed7zadxne0a0t5e5572x0farz0e0tp" timestamp="1561605959"&gt;26&lt;/key&gt;&lt;/foreign-keys&gt;&lt;ref-type name="Journal Article"&gt;17&lt;/ref-type&gt;&lt;contributors&gt;&lt;authors&gt;&lt;author&gt;Sinclair, Thomas R&lt;/author&gt;&lt;author&gt;Vadez, Vincent&lt;/author&gt;&lt;/authors&gt;&lt;/contributors&gt;&lt;titles&gt;&lt;title&gt;Physiological traits for crop yield improvement in low N and P environments&lt;/title&gt;&lt;secondary-title&gt;Plant and Soil&lt;/secondary-title&gt;&lt;/titles&gt;&lt;periodical&gt;&lt;full-title&gt;Plant and Soil&lt;/full-title&gt;&lt;abbr-1&gt;Plant Soil&lt;/abbr-1&gt;&lt;abbr-2&gt;Plant Soil&lt;/abbr-2&gt;&lt;/periodical&gt;&lt;pages&gt;1-15&lt;/pages&gt;&lt;volume&gt;245&lt;/volume&gt;&lt;number&gt;1&lt;/number&gt;&lt;dates&gt;&lt;year&gt;2002&lt;/year&gt;&lt;/dates&gt;&lt;isbn&gt;0032-079X&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(Sinclair and Vadez 2002)</w:t>
      </w:r>
      <w:r w:rsidRPr="00417A14">
        <w:rPr>
          <w:rFonts w:ascii="Times New Roman" w:hAnsi="Times New Roman"/>
          <w:sz w:val="24"/>
          <w:szCs w:val="24"/>
        </w:rPr>
        <w:fldChar w:fldCharType="end"/>
      </w:r>
      <w:r w:rsidRPr="00417A14">
        <w:rPr>
          <w:rFonts w:ascii="Times New Roman" w:hAnsi="Times New Roman"/>
          <w:sz w:val="24"/>
          <w:szCs w:val="24"/>
        </w:rPr>
        <w:t xml:space="preserve">. Optimum yields may not be attained without significant amounts of N and P in the crop. Abdel-Salam and Salem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&lt;EndNote&gt;&lt;Cite&gt;&lt;Author&gt;Abdel-Salam&lt;/Author&gt;&lt;Year&gt;2012&lt;/Year&gt;&lt;RecNum&gt;31&lt;/RecNum&gt;&lt;DisplayText&gt;(Abdel-Salam and Salem 2012)&lt;/DisplayText&gt;&lt;record&gt;&lt;rec-number&gt;31&lt;/rec-number&gt;&lt;foreign-keys&gt;&lt;key app="EN" db-id="2vz9r9ed7zadxne0a0t5e5572x0farz0e0tp" timestamp="1561606390"&gt;31&lt;/key&gt;&lt;/foreign-keys&gt;&lt;ref-type name="Journal Article"&gt;17&lt;/ref-type&gt;&lt;contributors&gt;&lt;authors&gt;&lt;author&gt;Abdel-Salam, MA&lt;/author&gt;&lt;author&gt;Salem, HM&lt;/author&gt;&lt;/authors&gt;&lt;/contributors&gt;&lt;titles&gt;&lt;title&gt;&lt;style face="normal" font="default" size="100%"&gt;Interaction between potassium and organic manure application on growth of cowpea (&lt;/style&gt;&lt;style face="italic" font="default" size="100%"&gt;Vigna unguiculata&lt;/style&gt;&lt;style face="normal" font="default" size="100%"&gt; L.) and soil properties in newly reclaimed sandy soil&lt;/style&gt;&lt;/title&gt;&lt;secondary-title&gt;World J. Agri. Sci.&lt;/secondary-title&gt;&lt;/titles&gt;&lt;pages&gt;141-149&lt;/pages&gt;&lt;volume&gt;8&lt;/volume&gt;&lt;number&gt;2&lt;/number&gt;&lt;dates&gt;&lt;year&gt;2012&lt;/year&gt;&lt;/dates&gt;&lt;isbn&gt;1817-3047&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(Abdel-Salam and Salem 2012)</w:t>
      </w:r>
      <w:r w:rsidRPr="00417A14">
        <w:rPr>
          <w:rFonts w:ascii="Times New Roman" w:hAnsi="Times New Roman"/>
          <w:sz w:val="24"/>
          <w:szCs w:val="24"/>
        </w:rPr>
        <w:fldChar w:fldCharType="end"/>
      </w:r>
      <w:r w:rsidRPr="00417A14">
        <w:rPr>
          <w:rFonts w:ascii="Times New Roman" w:hAnsi="Times New Roman"/>
          <w:sz w:val="24"/>
          <w:szCs w:val="24"/>
        </w:rPr>
        <w:t xml:space="preserve"> reported that uptake of N increased with the increasing </w:t>
      </w:r>
      <w:r w:rsidR="00587A53" w:rsidRPr="00417A14">
        <w:rPr>
          <w:rFonts w:ascii="Times New Roman" w:hAnsi="Times New Roman"/>
          <w:sz w:val="24"/>
          <w:szCs w:val="24"/>
        </w:rPr>
        <w:t>potassium rate</w:t>
      </w:r>
      <w:r w:rsidRPr="00417A14">
        <w:rPr>
          <w:rFonts w:ascii="Times New Roman" w:hAnsi="Times New Roman"/>
          <w:sz w:val="24"/>
          <w:szCs w:val="24"/>
        </w:rPr>
        <w:t xml:space="preserve"> and concluded that a balanced combination of K and N is </w:t>
      </w:r>
      <w:r w:rsidR="00587A53" w:rsidRPr="00417A14">
        <w:rPr>
          <w:rFonts w:ascii="Times New Roman" w:hAnsi="Times New Roman"/>
          <w:sz w:val="24"/>
          <w:szCs w:val="24"/>
        </w:rPr>
        <w:t xml:space="preserve">a </w:t>
      </w:r>
      <w:r w:rsidRPr="00417A14">
        <w:rPr>
          <w:rFonts w:ascii="Times New Roman" w:hAnsi="Times New Roman"/>
          <w:sz w:val="24"/>
          <w:szCs w:val="24"/>
        </w:rPr>
        <w:t xml:space="preserve">necessary </w:t>
      </w:r>
      <w:r w:rsidR="00587A53" w:rsidRPr="00417A14">
        <w:rPr>
          <w:rFonts w:ascii="Times New Roman" w:hAnsi="Times New Roman"/>
          <w:sz w:val="24"/>
          <w:szCs w:val="24"/>
        </w:rPr>
        <w:t>positive</w:t>
      </w:r>
      <w:r w:rsidRPr="00417A14">
        <w:rPr>
          <w:rFonts w:ascii="Times New Roman" w:hAnsi="Times New Roman"/>
          <w:sz w:val="24"/>
          <w:szCs w:val="24"/>
        </w:rPr>
        <w:t xml:space="preserve"> response to K application. The uptake of K by the grain should not be a source of worry as it has </w:t>
      </w:r>
      <w:r w:rsidR="00587A53" w:rsidRPr="00417A14">
        <w:rPr>
          <w:rFonts w:ascii="Times New Roman" w:hAnsi="Times New Roman"/>
          <w:sz w:val="24"/>
          <w:szCs w:val="24"/>
        </w:rPr>
        <w:t>many</w:t>
      </w:r>
      <w:r w:rsidRPr="00417A14">
        <w:rPr>
          <w:rFonts w:ascii="Times New Roman" w:hAnsi="Times New Roman"/>
          <w:sz w:val="24"/>
          <w:szCs w:val="24"/>
        </w:rPr>
        <w:t xml:space="preserve"> beneficial biochemical functions such as for stability, proper folding and functioning of RNA and proteins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&lt;EndNote&gt;&lt;Cite&gt;&lt;Author&gt;Graciano&lt;/Author&gt;&lt;Year&gt;2006&lt;/Year&gt;&lt;RecNum&gt;36&lt;/RecNum&gt;&lt;DisplayText&gt;(Graciano et al. 2006)&lt;/DisplayText&gt;&lt;record&gt;&lt;rec-number&gt;36&lt;/rec-number&gt;&lt;foreign-keys&gt;&lt;key app="EN" db-id="2vz9r9ed7zadxne0a0t5e5572x0farz0e0tp" timestamp="1561678194"&gt;36&lt;/key&gt;&lt;/foreign-keys&gt;&lt;ref-type name="Journal Article"&gt;17&lt;/ref-type&gt;&lt;contributors&gt;&lt;authors&gt;&lt;author&gt;Graciano, Corina&lt;/author&gt;&lt;author&gt;Goya, Juan F&lt;/author&gt;&lt;author&gt;Frangi, Jorge L&lt;/author&gt;&lt;author&gt;Guiamet, Juan J&lt;/author&gt;&lt;/authors&gt;&lt;/contributors&gt;&lt;titles&gt;&lt;title&gt;&lt;style face="normal" font="default" size="100%"&gt;Fertilization with phosphorus increases soil nitrogen absorption in young plants of &lt;/style&gt;&lt;style face="italic" font="default" size="100%"&gt;Eucalyptus grandis&lt;/style&gt;&lt;/title&gt;&lt;secondary-title&gt;Forest Ecology and Management&lt;/secondary-title&gt;&lt;/titles&gt;&lt;periodical&gt;&lt;full-title&gt;Forest Ecology and Management&lt;/full-title&gt;&lt;abbr-1&gt;For. Ecol. Manage.&lt;/abbr-1&gt;&lt;abbr-2&gt;For Ecol Manage&lt;/abbr-2&gt;&lt;/periodical&gt;&lt;pages&gt;202-210&lt;/pages&gt;&lt;volume&gt;236&lt;/volume&gt;&lt;number&gt;2-3&lt;/number&gt;&lt;dates&gt;&lt;year&gt;2006&lt;/year&gt;&lt;/dates&gt;&lt;isbn&gt;0378-1127&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(Graciano et al. 2006)</w:t>
      </w:r>
      <w:r w:rsidRPr="00417A14">
        <w:rPr>
          <w:rFonts w:ascii="Times New Roman" w:hAnsi="Times New Roman"/>
          <w:sz w:val="24"/>
          <w:szCs w:val="24"/>
        </w:rPr>
        <w:fldChar w:fldCharType="end"/>
      </w:r>
      <w:r w:rsidRPr="00417A14">
        <w:rPr>
          <w:rFonts w:ascii="Times New Roman" w:hAnsi="Times New Roman"/>
          <w:sz w:val="24"/>
          <w:szCs w:val="24"/>
        </w:rPr>
        <w:t xml:space="preserve">. </w:t>
      </w:r>
    </w:p>
    <w:p w14:paraId="2DF3292A" w14:textId="77777777" w:rsidR="00936876" w:rsidRPr="00417A14" w:rsidRDefault="00936876" w:rsidP="00936876">
      <w:pPr>
        <w:spacing w:line="480" w:lineRule="auto"/>
        <w:rPr>
          <w:rFonts w:ascii="Times New Roman" w:hAnsi="Times New Roman"/>
          <w:b/>
          <w:bCs/>
          <w:sz w:val="24"/>
          <w:szCs w:val="24"/>
        </w:rPr>
      </w:pPr>
      <w:r w:rsidRPr="00417A14">
        <w:rPr>
          <w:rFonts w:ascii="Times New Roman" w:hAnsi="Times New Roman"/>
          <w:b/>
          <w:bCs/>
          <w:sz w:val="24"/>
          <w:szCs w:val="24"/>
        </w:rPr>
        <w:t>Effect of fertilizer treatments on soil nutrient after the experiment</w:t>
      </w:r>
    </w:p>
    <w:p w14:paraId="647EFA96" w14:textId="6F2A8643" w:rsidR="00936876" w:rsidRPr="00417A14" w:rsidRDefault="00936876" w:rsidP="00936876">
      <w:pPr>
        <w:spacing w:line="480" w:lineRule="auto"/>
        <w:jc w:val="both"/>
        <w:rPr>
          <w:rFonts w:ascii="Times New Roman" w:hAnsi="Times New Roman"/>
          <w:sz w:val="24"/>
          <w:szCs w:val="24"/>
        </w:rPr>
      </w:pPr>
      <w:r w:rsidRPr="00417A14">
        <w:rPr>
          <w:rFonts w:ascii="Times New Roman" w:hAnsi="Times New Roman"/>
          <w:sz w:val="24"/>
          <w:szCs w:val="24"/>
        </w:rPr>
        <w:t xml:space="preserve">The fertilizer treatments did not significantly alter soil N and P; hence the fear of soil and water contamination due to </w:t>
      </w:r>
      <w:r w:rsidR="00587A53" w:rsidRPr="00417A14">
        <w:rPr>
          <w:rFonts w:ascii="Times New Roman" w:hAnsi="Times New Roman"/>
          <w:sz w:val="24"/>
          <w:szCs w:val="24"/>
        </w:rPr>
        <w:t>nitrogen fertili</w:t>
      </w:r>
      <w:r w:rsidR="00417A14" w:rsidRPr="00417A14">
        <w:rPr>
          <w:rFonts w:ascii="Times New Roman" w:hAnsi="Times New Roman"/>
          <w:sz w:val="24"/>
          <w:szCs w:val="24"/>
        </w:rPr>
        <w:t>z</w:t>
      </w:r>
      <w:r w:rsidR="00587A53" w:rsidRPr="00417A14">
        <w:rPr>
          <w:rFonts w:ascii="Times New Roman" w:hAnsi="Times New Roman"/>
          <w:sz w:val="24"/>
          <w:szCs w:val="24"/>
        </w:rPr>
        <w:t>er application</w:t>
      </w:r>
      <w:r w:rsidRPr="00417A14">
        <w:rPr>
          <w:rFonts w:ascii="Times New Roman" w:hAnsi="Times New Roman"/>
          <w:sz w:val="24"/>
          <w:szCs w:val="24"/>
        </w:rPr>
        <w:t xml:space="preserve"> could be allayed. The initial high-level P (Table 1) value for the soil could be attributed to the spatial variation of soil properties common in smallholder farms. However, the inconsistency in the initial soil P level and final soil P level further confirms the submission of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&lt;EndNote&gt;&lt;Cite&gt;&lt;Author&gt;Mandal&lt;/Author&gt;&lt;Year&gt;2007&lt;/Year&gt;&lt;RecNum&gt;580&lt;/RecNum&gt;&lt;DisplayText&gt;(Mandal et al. 2007)&lt;/DisplayText&gt;&lt;record&gt;&lt;rec-number&gt;580&lt;/rec-number&gt;&lt;foreign-keys&gt;&lt;key app="EN" db-id="2vz9r9ed7zadxne0a0t5e5572x0farz0e0tp" timestamp="1575576993"&gt;580&lt;/key&gt;&lt;/foreign-keys&gt;&lt;ref-type name="Journal Article"&gt;17&lt;/ref-type&gt;&lt;contributors&gt;&lt;authors&gt;&lt;author&gt;Mandal, Asit&lt;/author&gt;&lt;author&gt;Patra, Ashok K&lt;/author&gt;&lt;author&gt;Singh, Dhyan&lt;/author&gt;&lt;author&gt;Swarup, Anand&lt;/author&gt;&lt;author&gt;Masto, R Ebhin&lt;/author&gt;&lt;/authors&gt;&lt;/contributors&gt;&lt;titles&gt;&lt;title&gt;Effect of long-term application of manure and fertilizer on biological and biochemical activities in soil during crop development stages&lt;/title&gt;&lt;secondary-title&gt;Bioresource technology&lt;/secondary-title&gt;&lt;/titles&gt;&lt;periodical&gt;&lt;full-title&gt;Bioresource Technology&lt;/full-title&gt;&lt;abbr-1&gt;Bioresour Technol&lt;/abbr-1&gt;&lt;abbr-2&gt;Bioresour. Technol.&lt;/abbr-2&gt;&lt;/periodical&gt;&lt;pages&gt;3585-3592&lt;/pages&gt;&lt;volume&gt;98&lt;/volume&gt;&lt;number&gt;18&lt;/number&gt;&lt;dates&gt;&lt;year&gt;2007&lt;/year&gt;&lt;/dates&gt;&lt;isbn&gt;0960-8524&lt;/isbn&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(Mandal et al. 2007)</w:t>
      </w:r>
      <w:r w:rsidRPr="00417A14">
        <w:rPr>
          <w:rFonts w:ascii="Times New Roman" w:hAnsi="Times New Roman"/>
          <w:sz w:val="24"/>
          <w:szCs w:val="24"/>
        </w:rPr>
        <w:fldChar w:fldCharType="end"/>
      </w:r>
      <w:r w:rsidRPr="00417A14">
        <w:rPr>
          <w:rFonts w:ascii="Times New Roman" w:hAnsi="Times New Roman"/>
          <w:sz w:val="24"/>
          <w:szCs w:val="24"/>
        </w:rPr>
        <w:t xml:space="preserve"> that </w:t>
      </w:r>
      <w:r w:rsidR="00587A53" w:rsidRPr="00417A14">
        <w:rPr>
          <w:rFonts w:ascii="Times New Roman" w:hAnsi="Times New Roman"/>
          <w:sz w:val="24"/>
          <w:szCs w:val="24"/>
        </w:rPr>
        <w:t>a long-term experiment is needed to explain soil nutrient dynamics for sustainable production for soil fertility management</w:t>
      </w:r>
      <w:r w:rsidRPr="00417A14">
        <w:rPr>
          <w:rFonts w:ascii="Times New Roman" w:hAnsi="Times New Roman"/>
          <w:sz w:val="24"/>
          <w:szCs w:val="24"/>
        </w:rPr>
        <w:t>. Application of fertilizer based on crop need and at recommended rate maintains soil health rather than h</w:t>
      </w:r>
      <w:r w:rsidR="00587A53" w:rsidRPr="00417A14">
        <w:rPr>
          <w:rFonts w:ascii="Times New Roman" w:hAnsi="Times New Roman"/>
          <w:sz w:val="24"/>
          <w:szCs w:val="24"/>
        </w:rPr>
        <w:t>urting</w:t>
      </w:r>
      <w:r w:rsidRPr="00417A14">
        <w:rPr>
          <w:rFonts w:ascii="Times New Roman" w:hAnsi="Times New Roman"/>
          <w:sz w:val="24"/>
          <w:szCs w:val="24"/>
        </w:rPr>
        <w:t xml:space="preserve"> the soil </w:t>
      </w:r>
      <w:r w:rsidRPr="00417A14">
        <w:rPr>
          <w:rFonts w:ascii="Times New Roman" w:hAnsi="Times New Roman"/>
          <w:sz w:val="24"/>
          <w:szCs w:val="24"/>
        </w:rPr>
        <w:fldChar w:fldCharType="begin"/>
      </w:r>
      <w:r w:rsidRPr="00417A14">
        <w:rPr>
          <w:rFonts w:ascii="Times New Roman" w:hAnsi="Times New Roman"/>
          <w:sz w:val="24"/>
          <w:szCs w:val="24"/>
        </w:rPr>
        <w:instrText xml:space="preserve"> ADDIN EN.CITE &lt;EndNote&gt;&lt;Cite&gt;&lt;Author&gt;Singh&lt;/Author&gt;&lt;Year&gt;2018&lt;/Year&gt;&lt;RecNum&gt;579&lt;/RecNum&gt;&lt;DisplayText&gt;(Singh 2018)&lt;/DisplayText&gt;&lt;record&gt;&lt;rec-number&gt;579&lt;/rec-number&gt;&lt;foreign-keys&gt;&lt;key app="EN" db-id="2vz9r9ed7zadxne0a0t5e5572x0farz0e0tp" timestamp="1575575941"&gt;579&lt;/key&gt;&lt;/foreign-keys&gt;&lt;ref-type name="Journal Article"&gt;17&lt;/ref-type&gt;&lt;contributors&gt;&lt;authors&gt;&lt;author&gt;Singh, Bijay&lt;/author&gt;&lt;/authors&gt;&lt;/contributors&gt;&lt;titles&gt;&lt;title&gt;Are nitrogen fertilizers deleterious to soil health?&lt;/title&gt;&lt;secondary-title&gt;Agronomy&lt;/secondary-title&gt;&lt;/titles&gt;&lt;pages&gt;48&lt;/pages&gt;&lt;volume&gt;8&lt;/volume&gt;&lt;number&gt;4&lt;/number&gt;&lt;dates&gt;&lt;year&gt;2018&lt;/year&gt;&lt;/dates&gt;&lt;urls&gt;&lt;/urls&gt;&lt;/record&gt;&lt;/Cite&gt;&lt;/EndNote&gt;</w:instrText>
      </w:r>
      <w:r w:rsidRPr="00417A14">
        <w:rPr>
          <w:rFonts w:ascii="Times New Roman" w:hAnsi="Times New Roman"/>
          <w:sz w:val="24"/>
          <w:szCs w:val="24"/>
        </w:rPr>
        <w:fldChar w:fldCharType="separate"/>
      </w:r>
      <w:r w:rsidRPr="00417A14">
        <w:rPr>
          <w:rFonts w:ascii="Times New Roman" w:hAnsi="Times New Roman"/>
          <w:noProof/>
          <w:sz w:val="24"/>
          <w:szCs w:val="24"/>
        </w:rPr>
        <w:t>(Singh 2018)</w:t>
      </w:r>
      <w:r w:rsidRPr="00417A14">
        <w:rPr>
          <w:rFonts w:ascii="Times New Roman" w:hAnsi="Times New Roman"/>
          <w:sz w:val="24"/>
          <w:szCs w:val="24"/>
        </w:rPr>
        <w:fldChar w:fldCharType="end"/>
      </w:r>
      <w:r w:rsidRPr="00417A14">
        <w:rPr>
          <w:rFonts w:ascii="Times New Roman" w:hAnsi="Times New Roman"/>
          <w:sz w:val="24"/>
          <w:szCs w:val="24"/>
        </w:rPr>
        <w:t xml:space="preserve">. </w:t>
      </w:r>
    </w:p>
    <w:p w14:paraId="76602D85" w14:textId="77777777" w:rsidR="00936876" w:rsidRPr="00417A14" w:rsidRDefault="00936876" w:rsidP="00936876">
      <w:pPr>
        <w:pStyle w:val="Heading1"/>
        <w:spacing w:line="480" w:lineRule="auto"/>
        <w:rPr>
          <w:rStyle w:val="A5"/>
          <w:color w:val="auto"/>
          <w:szCs w:val="24"/>
        </w:rPr>
      </w:pPr>
      <w:r w:rsidRPr="00417A14">
        <w:rPr>
          <w:rStyle w:val="A5"/>
          <w:color w:val="auto"/>
          <w:szCs w:val="24"/>
        </w:rPr>
        <w:t>Conclusions</w:t>
      </w:r>
    </w:p>
    <w:p w14:paraId="62BF5022" w14:textId="5F2EC8CF" w:rsidR="00936876" w:rsidRPr="00417A14" w:rsidRDefault="00936876" w:rsidP="00936876">
      <w:pPr>
        <w:pStyle w:val="Default"/>
        <w:tabs>
          <w:tab w:val="left" w:pos="2970"/>
        </w:tabs>
        <w:spacing w:line="480" w:lineRule="auto"/>
        <w:jc w:val="both"/>
        <w:rPr>
          <w:bCs/>
          <w:color w:val="auto"/>
        </w:rPr>
      </w:pPr>
      <w:r w:rsidRPr="00417A14">
        <w:rPr>
          <w:color w:val="auto"/>
        </w:rPr>
        <w:t xml:space="preserve">Findings from this research work indicated </w:t>
      </w:r>
      <w:r w:rsidR="00587A53" w:rsidRPr="00417A14">
        <w:rPr>
          <w:color w:val="auto"/>
        </w:rPr>
        <w:t>an increase in the</w:t>
      </w:r>
      <w:r w:rsidRPr="00417A14">
        <w:rPr>
          <w:color w:val="auto"/>
        </w:rPr>
        <w:t xml:space="preserve"> grain yield of cowpea following NPK fertilizer application. The fertilizer rate corresponding to 20 – 30 – 20 kg N-P</w:t>
      </w:r>
      <w:r w:rsidRPr="00417A14">
        <w:rPr>
          <w:color w:val="auto"/>
          <w:vertAlign w:val="subscript"/>
        </w:rPr>
        <w:t>2</w:t>
      </w:r>
      <w:r w:rsidRPr="00417A14">
        <w:rPr>
          <w:color w:val="auto"/>
        </w:rPr>
        <w:t>O</w:t>
      </w:r>
      <w:r w:rsidRPr="00417A14">
        <w:rPr>
          <w:color w:val="auto"/>
          <w:vertAlign w:val="subscript"/>
        </w:rPr>
        <w:t>5</w:t>
      </w:r>
      <w:r w:rsidRPr="00417A14">
        <w:rPr>
          <w:color w:val="auto"/>
        </w:rPr>
        <w:t>- K</w:t>
      </w:r>
      <w:r w:rsidRPr="00417A14">
        <w:rPr>
          <w:color w:val="auto"/>
          <w:vertAlign w:val="subscript"/>
        </w:rPr>
        <w:t>2</w:t>
      </w:r>
      <w:r w:rsidRPr="00417A14">
        <w:rPr>
          <w:color w:val="auto"/>
        </w:rPr>
        <w:t>O/</w:t>
      </w:r>
      <w:r w:rsidRPr="00417A14">
        <w:rPr>
          <w:noProof/>
          <w:color w:val="auto"/>
          <w:lang w:eastAsia="en-GB"/>
        </w:rPr>
        <w:t xml:space="preserve">ha gave the highest grain yield while </w:t>
      </w:r>
      <w:r w:rsidRPr="00417A14">
        <w:rPr>
          <w:color w:val="auto"/>
        </w:rPr>
        <w:t>fertilizer rate 30 – 45 – 30 kg N-P</w:t>
      </w:r>
      <w:r w:rsidRPr="00417A14">
        <w:rPr>
          <w:color w:val="auto"/>
          <w:vertAlign w:val="subscript"/>
        </w:rPr>
        <w:t>2</w:t>
      </w:r>
      <w:r w:rsidRPr="00417A14">
        <w:rPr>
          <w:color w:val="auto"/>
        </w:rPr>
        <w:t>O</w:t>
      </w:r>
      <w:r w:rsidRPr="00417A14">
        <w:rPr>
          <w:color w:val="auto"/>
          <w:vertAlign w:val="subscript"/>
        </w:rPr>
        <w:t>5</w:t>
      </w:r>
      <w:r w:rsidRPr="00417A14">
        <w:rPr>
          <w:color w:val="auto"/>
        </w:rPr>
        <w:t>- K</w:t>
      </w:r>
      <w:r w:rsidRPr="00417A14">
        <w:rPr>
          <w:color w:val="auto"/>
          <w:vertAlign w:val="subscript"/>
        </w:rPr>
        <w:t>2</w:t>
      </w:r>
      <w:r w:rsidRPr="00417A14">
        <w:rPr>
          <w:color w:val="auto"/>
        </w:rPr>
        <w:t>O/</w:t>
      </w:r>
      <w:r w:rsidRPr="00417A14">
        <w:rPr>
          <w:noProof/>
          <w:color w:val="auto"/>
          <w:lang w:eastAsia="en-GB"/>
        </w:rPr>
        <w:t xml:space="preserve">ha gave the highest biomass yield. </w:t>
      </w:r>
      <w:r w:rsidR="00587A53" w:rsidRPr="00417A14">
        <w:rPr>
          <w:noProof/>
          <w:color w:val="auto"/>
          <w:lang w:eastAsia="en-GB"/>
        </w:rPr>
        <w:t>N's application should be accompanied by applying</w:t>
      </w:r>
      <w:r w:rsidRPr="00417A14">
        <w:rPr>
          <w:color w:val="auto"/>
        </w:rPr>
        <w:t xml:space="preserve"> a commensurate dose of P and K to avoid nutrient deficiency through crop removal in the long run. It will also ensure a balanced uptake of nutrients by the plant. Since high grain yield the </w:t>
      </w:r>
      <w:r w:rsidR="00587A53" w:rsidRPr="00417A14">
        <w:rPr>
          <w:color w:val="auto"/>
        </w:rPr>
        <w:t xml:space="preserve">principal </w:t>
      </w:r>
      <w:r w:rsidRPr="00417A14">
        <w:rPr>
          <w:color w:val="auto"/>
        </w:rPr>
        <w:t xml:space="preserve">motivation for cowpea production in this area, the </w:t>
      </w:r>
      <w:r w:rsidR="00587A53" w:rsidRPr="00417A14">
        <w:rPr>
          <w:color w:val="auto"/>
        </w:rPr>
        <w:t xml:space="preserve">excellent </w:t>
      </w:r>
      <w:r w:rsidRPr="00417A14">
        <w:rPr>
          <w:color w:val="auto"/>
        </w:rPr>
        <w:t xml:space="preserve">fertilizer rates </w:t>
      </w:r>
      <w:r w:rsidRPr="00417A14">
        <w:rPr>
          <w:color w:val="auto"/>
        </w:rPr>
        <w:lastRenderedPageBreak/>
        <w:t>selected for optimal cowpea yield were 20 – 30 – 20 kg N-P</w:t>
      </w:r>
      <w:r w:rsidRPr="00417A14">
        <w:rPr>
          <w:color w:val="auto"/>
          <w:vertAlign w:val="subscript"/>
        </w:rPr>
        <w:t>2</w:t>
      </w:r>
      <w:r w:rsidRPr="00417A14">
        <w:rPr>
          <w:color w:val="auto"/>
        </w:rPr>
        <w:t>O</w:t>
      </w:r>
      <w:r w:rsidRPr="00417A14">
        <w:rPr>
          <w:color w:val="auto"/>
          <w:vertAlign w:val="subscript"/>
        </w:rPr>
        <w:t>5</w:t>
      </w:r>
      <w:r w:rsidRPr="00417A14">
        <w:rPr>
          <w:color w:val="auto"/>
        </w:rPr>
        <w:t>- K</w:t>
      </w:r>
      <w:r w:rsidRPr="00417A14">
        <w:rPr>
          <w:color w:val="auto"/>
          <w:vertAlign w:val="subscript"/>
        </w:rPr>
        <w:t>2</w:t>
      </w:r>
      <w:r w:rsidRPr="00417A14">
        <w:rPr>
          <w:color w:val="auto"/>
        </w:rPr>
        <w:t xml:space="preserve">O/ha in the study area. We recommend that the study </w:t>
      </w:r>
      <w:r w:rsidR="00587A53" w:rsidRPr="00417A14">
        <w:rPr>
          <w:color w:val="auto"/>
        </w:rPr>
        <w:t>be replicated on other benchmark soils within the agro-ecological zones to capture variability</w:t>
      </w:r>
      <w:r w:rsidRPr="00417A14">
        <w:rPr>
          <w:bCs/>
          <w:color w:val="auto"/>
        </w:rPr>
        <w:t xml:space="preserve"> in the soil. Although this research was conducted in Ghana, West Africa, the results can be applied in other regions with similar weather and soil characteristics.</w:t>
      </w:r>
    </w:p>
    <w:p w14:paraId="3A3D644C" w14:textId="77777777" w:rsidR="00936876" w:rsidRPr="00417A14" w:rsidRDefault="00936876" w:rsidP="00936876">
      <w:pPr>
        <w:spacing w:before="240" w:line="480" w:lineRule="auto"/>
        <w:ind w:left="284" w:hanging="284"/>
        <w:jc w:val="both"/>
        <w:rPr>
          <w:rFonts w:ascii="Times New Roman" w:hAnsi="Times New Roman"/>
          <w:sz w:val="24"/>
          <w:szCs w:val="24"/>
        </w:rPr>
      </w:pPr>
      <w:r w:rsidRPr="00417A14">
        <w:rPr>
          <w:rFonts w:ascii="Times New Roman" w:hAnsi="Times New Roman"/>
          <w:b/>
          <w:bCs/>
          <w:sz w:val="24"/>
          <w:szCs w:val="24"/>
        </w:rPr>
        <w:t xml:space="preserve">Competing Interests: </w:t>
      </w:r>
      <w:r w:rsidRPr="00417A14">
        <w:rPr>
          <w:rFonts w:ascii="Times New Roman" w:hAnsi="Times New Roman"/>
          <w:sz w:val="24"/>
          <w:szCs w:val="24"/>
        </w:rPr>
        <w:t>The authors declare no competing interests.</w:t>
      </w:r>
    </w:p>
    <w:p w14:paraId="603D951E" w14:textId="77777777" w:rsidR="00936876" w:rsidRPr="00417A14" w:rsidRDefault="00936876" w:rsidP="00936876">
      <w:pPr>
        <w:spacing w:line="360" w:lineRule="auto"/>
        <w:ind w:left="284" w:hanging="284"/>
        <w:jc w:val="both"/>
        <w:rPr>
          <w:rFonts w:ascii="Times New Roman" w:hAnsi="Times New Roman"/>
          <w:b/>
          <w:bCs/>
          <w:sz w:val="24"/>
          <w:szCs w:val="24"/>
        </w:rPr>
      </w:pPr>
      <w:r w:rsidRPr="00417A14">
        <w:rPr>
          <w:rFonts w:ascii="Times New Roman" w:hAnsi="Times New Roman"/>
          <w:b/>
          <w:bCs/>
          <w:sz w:val="24"/>
          <w:szCs w:val="24"/>
        </w:rPr>
        <w:t>References</w:t>
      </w:r>
    </w:p>
    <w:p w14:paraId="78FD7A0C" w14:textId="77777777" w:rsidR="00417A14" w:rsidRPr="00417A14" w:rsidRDefault="00936876"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szCs w:val="24"/>
        </w:rPr>
        <w:fldChar w:fldCharType="begin"/>
      </w:r>
      <w:r w:rsidRPr="00417A14">
        <w:rPr>
          <w:rFonts w:ascii="Times New Roman" w:hAnsi="Times New Roman" w:cs="Times New Roman"/>
          <w:sz w:val="24"/>
          <w:szCs w:val="24"/>
        </w:rPr>
        <w:instrText xml:space="preserve"> ADDIN EN.REFLIST </w:instrText>
      </w:r>
      <w:r w:rsidRPr="00417A14">
        <w:rPr>
          <w:rFonts w:ascii="Times New Roman" w:hAnsi="Times New Roman" w:cs="Times New Roman"/>
          <w:sz w:val="24"/>
          <w:szCs w:val="24"/>
        </w:rPr>
        <w:fldChar w:fldCharType="separate"/>
      </w:r>
      <w:r w:rsidR="00417A14" w:rsidRPr="00417A14">
        <w:rPr>
          <w:rFonts w:ascii="Times New Roman" w:hAnsi="Times New Roman" w:cs="Times New Roman"/>
          <w:sz w:val="24"/>
        </w:rPr>
        <w:t>Abayomi Y, Ajibade T, Sammuel O, Saadudeen B (2008) Growth and yield responses of cowpea (</w:t>
      </w:r>
      <w:r w:rsidR="00417A14" w:rsidRPr="00417A14">
        <w:rPr>
          <w:rFonts w:ascii="Times New Roman" w:hAnsi="Times New Roman" w:cs="Times New Roman"/>
          <w:i/>
          <w:sz w:val="24"/>
        </w:rPr>
        <w:t>Vigna unguiculata</w:t>
      </w:r>
      <w:r w:rsidR="00417A14" w:rsidRPr="00417A14">
        <w:rPr>
          <w:rFonts w:ascii="Times New Roman" w:hAnsi="Times New Roman" w:cs="Times New Roman"/>
          <w:sz w:val="24"/>
        </w:rPr>
        <w:t xml:space="preserve"> (L.) Walp) genotypes to nitrogen fertilizer (NPK) application in the Southern Guinea Savanna zone of Nigeria Asian J Plant Sci 7:170-176</w:t>
      </w:r>
    </w:p>
    <w:p w14:paraId="305676EE"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Abbasi MK, Manzoor M, Tahir MM (2010) Efficiency of Rhizobium inoculation and P fertilization in enhancing nodulation, seed yield, and phosphorus use efficiency by field grown soybean under hilly region of Rawalakot Azad Jammu and Kashmir, Pakistan J Plant Nutr 33:1080-1102</w:t>
      </w:r>
    </w:p>
    <w:p w14:paraId="020ED8A0"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Abdel-Salam M, Salem H (2012) Interaction between potassium and organic manure application on growth of cowpea (</w:t>
      </w:r>
      <w:r w:rsidRPr="00417A14">
        <w:rPr>
          <w:rFonts w:ascii="Times New Roman" w:hAnsi="Times New Roman" w:cs="Times New Roman"/>
          <w:i/>
          <w:sz w:val="24"/>
        </w:rPr>
        <w:t>Vigna unguiculata</w:t>
      </w:r>
      <w:r w:rsidRPr="00417A14">
        <w:rPr>
          <w:rFonts w:ascii="Times New Roman" w:hAnsi="Times New Roman" w:cs="Times New Roman"/>
          <w:sz w:val="24"/>
        </w:rPr>
        <w:t xml:space="preserve"> L.) and soil properties in newly reclaimed sandy soil World J Agri Sci 8:141-149</w:t>
      </w:r>
    </w:p>
    <w:p w14:paraId="1CB2A545"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Abdul Rahman N, Larbi A, Kotu B, Marthy Tetteh F, Hoeschle-Zeledon I (2018) Does nitrogen matter for legumes? Starter nitrogen effects on biological and economic benefits of cowpea (Vigna unguiculata L.) in Guinea and Sudan Savanna of West Africa Agronomy 8:120</w:t>
      </w:r>
    </w:p>
    <w:p w14:paraId="1E793F32"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Abed RD (2017) Effects of Genotypes and Potassium Rates on Some of Cowpea Traits Heritability Asian J Crop Sci 9:11-19</w:t>
      </w:r>
    </w:p>
    <w:p w14:paraId="6F1DCD71"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Addo-Quaye A, Darkwa A, Ampiah M (2011) Performance of three cowpea (</w:t>
      </w:r>
      <w:r w:rsidRPr="00417A14">
        <w:rPr>
          <w:rFonts w:ascii="Times New Roman" w:hAnsi="Times New Roman" w:cs="Times New Roman"/>
          <w:i/>
          <w:sz w:val="24"/>
        </w:rPr>
        <w:t>Vigna unguiculata</w:t>
      </w:r>
      <w:r w:rsidRPr="00417A14">
        <w:rPr>
          <w:rFonts w:ascii="Times New Roman" w:hAnsi="Times New Roman" w:cs="Times New Roman"/>
          <w:sz w:val="24"/>
        </w:rPr>
        <w:t xml:space="preserve"> (L) Walp) varieties in two agro-ecological zones of the Central Region of Ghana I: Dry matter production and growth analysis J agric biol sci 6:1-9</w:t>
      </w:r>
    </w:p>
    <w:p w14:paraId="1657EC93"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Agyeman K, Berchie a, Bonsu I, Nartey T, Fordjour J (2014) Growth and yield performance of improved cowpea (</w:t>
      </w:r>
      <w:r w:rsidRPr="00417A14">
        <w:rPr>
          <w:rFonts w:ascii="Times New Roman" w:hAnsi="Times New Roman" w:cs="Times New Roman"/>
          <w:i/>
          <w:sz w:val="24"/>
        </w:rPr>
        <w:t>Vigna unguiculata</w:t>
      </w:r>
      <w:r w:rsidRPr="00417A14">
        <w:rPr>
          <w:rFonts w:ascii="Times New Roman" w:hAnsi="Times New Roman" w:cs="Times New Roman"/>
          <w:sz w:val="24"/>
        </w:rPr>
        <w:t xml:space="preserve"> L.) varieties in Ghana Agric Sci 2:44-52</w:t>
      </w:r>
    </w:p>
    <w:p w14:paraId="4B0CEA74"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Ayodele O, Oso A (2014) Cowpea responses to phosphorus fertilizer application at Ado-Ekiti, south-west Nigeria J Appl Sci Agri 9:485-489</w:t>
      </w:r>
    </w:p>
    <w:p w14:paraId="0A79C282"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Azarpour E, Danesh R, Mohammadi S, Bozorgi H, Moraditochaee M (2011) Effects of nitrogen fertilizer under foliar spraying of humic acid on yield and yield components of cowpea (</w:t>
      </w:r>
      <w:r w:rsidRPr="00417A14">
        <w:rPr>
          <w:rFonts w:ascii="Times New Roman" w:hAnsi="Times New Roman" w:cs="Times New Roman"/>
          <w:i/>
          <w:sz w:val="24"/>
        </w:rPr>
        <w:t>Vigna unguiculata</w:t>
      </w:r>
      <w:r w:rsidRPr="00417A14">
        <w:rPr>
          <w:rFonts w:ascii="Times New Roman" w:hAnsi="Times New Roman" w:cs="Times New Roman"/>
          <w:sz w:val="24"/>
        </w:rPr>
        <w:t>) World Appl Sci J 13:1445-1449</w:t>
      </w:r>
    </w:p>
    <w:p w14:paraId="538FF1DB"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Bationo A, Kumar KA (2002) Phosphorus use efficiency as related to sources of P fertilizers, rainfall, soil, crop management, and genotypes in the West African semi-arid tropics. In:  Food Security in Nutrient-Stressed Environments: Exploiting Plants’ Genetic Capabilities. Springer, pp 145-154</w:t>
      </w:r>
    </w:p>
    <w:p w14:paraId="00590833"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lastRenderedPageBreak/>
        <w:t>Bationo A, Ntare B (2000) Rotation and nitrogen fertilizer effects on pearl millet, cowpea and groundnut yield and soil chemical properties in a sandy soil in the semi-arid tropics, West Africa The J Agri sci 134:277-284</w:t>
      </w:r>
    </w:p>
    <w:p w14:paraId="4280F62A"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Boddey RM, Fosu M, Atakora WK, Miranda CH, Boddey LH, Guimaraes AP, Ahiabor BD (2017) Cowpea (Vigna unguiculata) crops in Africa can respond to inoculation with rhizobium Exp Agric 53:578-587</w:t>
      </w:r>
    </w:p>
    <w:p w14:paraId="41B24D1D"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Bouyoucos GJ (1962) Hydrometer method improved for making particle size analyses of soils 1 Agron J 54:464-465</w:t>
      </w:r>
    </w:p>
    <w:p w14:paraId="45FBB345"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Bray RH, Kurtz L (1945) Determination of total, organic, and available forms of phosphorus in soils Soil Sci 59:39-46</w:t>
      </w:r>
    </w:p>
    <w:p w14:paraId="3890994A"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Buah SSJ, Kombiok JM, Abatania LN (2012) Grain sorghum response to NPK fertilizer in the Guinea Savanna of Ghana Journal of crop improvement 26:101-115</w:t>
      </w:r>
    </w:p>
    <w:p w14:paraId="6C633FA1"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Chiezey U, Katung P, Yayock J (1990) Response of cowpea (</w:t>
      </w:r>
      <w:r w:rsidRPr="00417A14">
        <w:rPr>
          <w:rFonts w:ascii="Times New Roman" w:hAnsi="Times New Roman" w:cs="Times New Roman"/>
          <w:i/>
          <w:sz w:val="24"/>
        </w:rPr>
        <w:t xml:space="preserve">V. unguiculata </w:t>
      </w:r>
      <w:r w:rsidRPr="00417A14">
        <w:rPr>
          <w:rFonts w:ascii="Times New Roman" w:hAnsi="Times New Roman" w:cs="Times New Roman"/>
          <w:sz w:val="24"/>
        </w:rPr>
        <w:t>(L.) Walp.), var. sampea-7 to nitrogen and phosphorus following a maize crop Samaru J Agri Edu 4:161-168</w:t>
      </w:r>
    </w:p>
    <w:p w14:paraId="1C79D83D"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Daramy M, Sarkodie-Addo J, Dumbuya G (2016) The effects of nitrogen and phosphorus fertilizer application on crude protein, nutrient concentration and nodulation of cowpea in Ghana ARPN J Agric Biol Sci 11:470 - 480</w:t>
      </w:r>
    </w:p>
    <w:p w14:paraId="2A03DC29"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Duke S, Collins M (2015) Role of Potassium in Legume Dinitrogen Fixation. In: Munson R (ed) Potassium in Agriculture. ASA, CSSA, and SSSA Books,, pp 443-465. doi:10.2134/1985.potassium.c19</w:t>
      </w:r>
    </w:p>
    <w:p w14:paraId="15C63DC4"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Emmanuel OC, Akintola OA, Tetteh FM, Babalola OO (2020) Data on the vegetative response of cowpea to fertilizer application on three selected benchmark soils of the Upper West Region of Ghana Data in Brief:105590</w:t>
      </w:r>
    </w:p>
    <w:p w14:paraId="4DF07DEF"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Ewusi-Mensah N (2018) Optimizing manure quality for increased food production on small holder farms in the Upper East Region of Ghana. Doctoral thesis, Kwame Nkrumah University of Science and Technology, Kumasi, Ghana</w:t>
      </w:r>
    </w:p>
    <w:p w14:paraId="35989907"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FAO (1974) Fertilizer Legislation Soil Bulletin  20. Rome, Italy.</w:t>
      </w:r>
    </w:p>
    <w:p w14:paraId="695EDAAA"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Fening J, Dogbe W, Danso S (2001) Assessment of the potential to improve N fixation by cowpea (</w:t>
      </w:r>
      <w:r w:rsidRPr="00417A14">
        <w:rPr>
          <w:rFonts w:ascii="Times New Roman" w:hAnsi="Times New Roman" w:cs="Times New Roman"/>
          <w:i/>
          <w:sz w:val="24"/>
        </w:rPr>
        <w:t xml:space="preserve">Vigna unguiculata </w:t>
      </w:r>
      <w:r w:rsidRPr="00417A14">
        <w:rPr>
          <w:rFonts w:ascii="Times New Roman" w:hAnsi="Times New Roman" w:cs="Times New Roman"/>
          <w:sz w:val="24"/>
        </w:rPr>
        <w:t>(L.) Walp.) in Ghanaian soils Am J Altern Agric 16:57-65</w:t>
      </w:r>
    </w:p>
    <w:p w14:paraId="172FCD6D"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Fosu M, Buah S, Kanton RL, Agyare W (2012) Modeling maize response to mineral fertilizer on silty clay loam in the northern savanna zone of ghana using DSSAT model. In:  Improving Soil Fertility Recommendations in Africa using the Decision Support System for Agrotechnology Transfer (DSSAT). Springer, pp 157-168</w:t>
      </w:r>
    </w:p>
    <w:p w14:paraId="471F9EA8"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Fosu M, Tetteh F (2008) Soil Organic Matter and Nitrogen in Ghanaian Soils: A review Synthesis of soil, water and nutrient management research in the Volta Basin:67</w:t>
      </w:r>
    </w:p>
    <w:p w14:paraId="47635736"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Giller KE, Cadisch G, Ehaliotis C, Adams E, Sakala WD, Mafongoya PL (1997) Building soil nitrogen capital in Africa Replenishing soil fertility in Africa:151-192</w:t>
      </w:r>
    </w:p>
    <w:p w14:paraId="5872B06D"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 xml:space="preserve">Graciano C, Goya JF, Frangi JL, Guiamet JJ (2006) Fertilization with phosphorus increases soil nitrogen absorption in young plants of </w:t>
      </w:r>
      <w:r w:rsidRPr="00417A14">
        <w:rPr>
          <w:rFonts w:ascii="Times New Roman" w:hAnsi="Times New Roman" w:cs="Times New Roman"/>
          <w:i/>
          <w:sz w:val="24"/>
        </w:rPr>
        <w:t>Eucalyptus grandis</w:t>
      </w:r>
      <w:r w:rsidRPr="00417A14">
        <w:rPr>
          <w:rFonts w:ascii="Times New Roman" w:hAnsi="Times New Roman" w:cs="Times New Roman"/>
          <w:sz w:val="24"/>
        </w:rPr>
        <w:t xml:space="preserve"> For Ecol Manage 236:202-210</w:t>
      </w:r>
    </w:p>
    <w:p w14:paraId="7604454F"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Hossain M (2006) Nutrients removed in harvested portion of crop by continuous corn receiving organic and inorganic fertilizers J Plant Sci 1:264-272</w:t>
      </w:r>
    </w:p>
    <w:p w14:paraId="6C617064"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 xml:space="preserve">IFDC IFDC (2012) Ghana Fertilizer Assessment, in Support of the African Fertilizer and Agribusiness Partnership </w:t>
      </w:r>
    </w:p>
    <w:p w14:paraId="2AD74D51"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Kanton R, Buah S, Larbi A, Mohammed A, Bidzakin J, Yakubu E (2017) Soil amendments and rotation effects on soybean and maize growths and soil chemical changes in northern Ghana International Journal of Agronomy 2017</w:t>
      </w:r>
    </w:p>
    <w:p w14:paraId="490BC05E"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lastRenderedPageBreak/>
        <w:t>Landon JR (2014) Booker tropical soil manual: a handbook for soil survey and agricultural land evaluation in the tropics and subtropics. In. Routledge, New York, USA, p 530</w:t>
      </w:r>
    </w:p>
    <w:p w14:paraId="58C32B07"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Magani I, Kuchinda C (2009) Effect of phosphorus fertilizer on growth, yield and crude protein content of cowpea (</w:t>
      </w:r>
      <w:r w:rsidRPr="00417A14">
        <w:rPr>
          <w:rFonts w:ascii="Times New Roman" w:hAnsi="Times New Roman" w:cs="Times New Roman"/>
          <w:i/>
          <w:sz w:val="24"/>
        </w:rPr>
        <w:t>Vigna unguiculata</w:t>
      </w:r>
      <w:r w:rsidRPr="00417A14">
        <w:rPr>
          <w:rFonts w:ascii="Times New Roman" w:hAnsi="Times New Roman" w:cs="Times New Roman"/>
          <w:sz w:val="24"/>
        </w:rPr>
        <w:t xml:space="preserve"> [L.] Walp) in Nigeria J Appl Biosci 23:1387-1393</w:t>
      </w:r>
    </w:p>
    <w:p w14:paraId="5B9E39E7"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Mandal A, Patra AK, Singh D, Swarup A, Masto RE (2007) Effect of long-term application of manure and fertilizer on biological and biochemical activities in soil during crop development stages Bioresour Technol 98:3585-3592</w:t>
      </w:r>
    </w:p>
    <w:p w14:paraId="2ECFFEF0"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Miller L, Houghton JA (1945) The microKjeldahl determination of the nitrogen content of amino acids and proteins J Biol Chem 169:373-383</w:t>
      </w:r>
    </w:p>
    <w:p w14:paraId="64958221"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Nelson DW, Sommers LE (1996) Total carbon, organic carbon, and organic matter. In:  Methods of soil analysis part 3 — chemical methods, vol 5. vol 3. Soil Science Society of America Book Series, Madison, Wisconsin, pp 961-1010</w:t>
      </w:r>
    </w:p>
    <w:p w14:paraId="00AF2314"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Nganchamung T, Robson MG, Siriwong W (2017) Chemical Fertilizer Use and Acute Health Effects among Chili Farmers in Ubon Ratchathani Province, Thailand J Health Res 31:427-435</w:t>
      </w:r>
    </w:p>
    <w:p w14:paraId="38CD623F"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Ofosu-Budu K, Obeng-Ofori D, Afreh-Nuamah K, Annobill R (2008) Effect of phospho-compost on growth and yield of cowpea (</w:t>
      </w:r>
      <w:r w:rsidRPr="00417A14">
        <w:rPr>
          <w:rFonts w:ascii="Times New Roman" w:hAnsi="Times New Roman" w:cs="Times New Roman"/>
          <w:i/>
          <w:sz w:val="24"/>
        </w:rPr>
        <w:t>Vigna unguiculata</w:t>
      </w:r>
      <w:r w:rsidRPr="00417A14">
        <w:rPr>
          <w:rFonts w:ascii="Times New Roman" w:hAnsi="Times New Roman" w:cs="Times New Roman"/>
          <w:sz w:val="24"/>
        </w:rPr>
        <w:t>) Ghana J Agric Sci 40:169-176</w:t>
      </w:r>
    </w:p>
    <w:p w14:paraId="3313DC77"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Oladiran O, Olajire F, Robert AC, Nnenna I (2012) Phosphorus response efficiency in cowpea genotypes J Agric Sci 4:81</w:t>
      </w:r>
    </w:p>
    <w:p w14:paraId="67058351"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Oliveira AP, Silva, J. A., Lopes, E. B., Silva, E. E., Araújo, L. E. A. and Ribeiro, V. V. (2009) Productive and economic yield of cowpea as affected by rates of potassium Sci Agrotechnology  33:629-634.</w:t>
      </w:r>
    </w:p>
    <w:p w14:paraId="7D4B3120"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 xml:space="preserve">Page A (1965) Methods of soil analysis. Part 2. Chemical and microbiological properties. American Society of Agronomy, Soil Science Society of America, </w:t>
      </w:r>
    </w:p>
    <w:p w14:paraId="40D6EC3B"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Sanginga N, Lyasse O, Singh B (2000) Phosphorus use efficiency and nitrogen balance of cowpea breeding lines in a low P soil of the derived savanna zone in West Africa Plant Soil 220:119</w:t>
      </w:r>
    </w:p>
    <w:p w14:paraId="517F3C04"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Sharma N, Singhvi R (2017) Effects of chemical fertilizers and pesticides on human health and environment: a review Int j agric environ biotechnol 10:675-679</w:t>
      </w:r>
    </w:p>
    <w:p w14:paraId="1AA42006"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Sinclair TR, Vadez V (2002) Physiological traits for crop yield improvement in low N and P environments Plant Soil 245:1-15</w:t>
      </w:r>
    </w:p>
    <w:p w14:paraId="6C51FC4B"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Singh B (2018) Are nitrogen fertilizers deleterious to soil health? Agronomy 8:48</w:t>
      </w:r>
    </w:p>
    <w:p w14:paraId="1970FE63"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Waluyo SH, Lie TA (2016) Effect of phosphate on nodule primordia of soybean (Glycine max Merrill) in acid soils in rhizotron experiments Indonesian J Agric Sci 5:37-44</w:t>
      </w:r>
    </w:p>
    <w:p w14:paraId="72E2A603" w14:textId="77777777" w:rsidR="00417A14" w:rsidRPr="00417A14" w:rsidRDefault="00417A14" w:rsidP="00417A14">
      <w:pPr>
        <w:pStyle w:val="EndNoteBibliography"/>
        <w:spacing w:after="0"/>
        <w:ind w:left="720" w:hanging="720"/>
        <w:rPr>
          <w:rFonts w:ascii="Times New Roman" w:hAnsi="Times New Roman" w:cs="Times New Roman"/>
          <w:sz w:val="24"/>
        </w:rPr>
      </w:pPr>
      <w:r w:rsidRPr="00417A14">
        <w:rPr>
          <w:rFonts w:ascii="Times New Roman" w:hAnsi="Times New Roman" w:cs="Times New Roman"/>
          <w:sz w:val="24"/>
        </w:rPr>
        <w:t>Wrb I (2014) World reference base for soil resources 2014 International soil classification system for naming soils and creating legends for soil maps,</w:t>
      </w:r>
    </w:p>
    <w:p w14:paraId="3F7B2E03" w14:textId="77777777" w:rsidR="00417A14" w:rsidRPr="00417A14" w:rsidRDefault="00417A14" w:rsidP="00417A14">
      <w:pPr>
        <w:pStyle w:val="EndNoteBibliography"/>
        <w:ind w:left="720" w:hanging="720"/>
        <w:rPr>
          <w:rFonts w:ascii="Times New Roman" w:hAnsi="Times New Roman" w:cs="Times New Roman"/>
          <w:sz w:val="24"/>
        </w:rPr>
      </w:pPr>
      <w:r w:rsidRPr="00417A14">
        <w:rPr>
          <w:rFonts w:ascii="Times New Roman" w:hAnsi="Times New Roman" w:cs="Times New Roman"/>
          <w:sz w:val="24"/>
        </w:rPr>
        <w:t>Yakubu H, Kwari J, Sandabe M (2010) Effect of phosphorus fertilizer on nitrogen fixation by some grain legume varieties in Sudano–Sahelian Zone of North Eastern Nigeria Nigerian J Basic Appl Sci 18:44-49</w:t>
      </w:r>
    </w:p>
    <w:p w14:paraId="7B0D5E94" w14:textId="4E44C660" w:rsidR="00936876" w:rsidRPr="00417A14" w:rsidRDefault="00936876" w:rsidP="00936876">
      <w:pPr>
        <w:spacing w:line="360" w:lineRule="auto"/>
        <w:ind w:left="284" w:hanging="284"/>
        <w:jc w:val="both"/>
        <w:rPr>
          <w:rFonts w:ascii="Times New Roman" w:hAnsi="Times New Roman"/>
          <w:bCs/>
          <w:sz w:val="24"/>
          <w:szCs w:val="24"/>
        </w:rPr>
      </w:pPr>
      <w:r w:rsidRPr="00417A14">
        <w:rPr>
          <w:rFonts w:ascii="Times New Roman" w:hAnsi="Times New Roman"/>
          <w:sz w:val="24"/>
          <w:szCs w:val="24"/>
        </w:rPr>
        <w:fldChar w:fldCharType="end"/>
      </w:r>
    </w:p>
    <w:p w14:paraId="4AF24E6C" w14:textId="77777777" w:rsidR="00936876" w:rsidRPr="00417A14" w:rsidRDefault="00936876" w:rsidP="00936876">
      <w:pPr>
        <w:spacing w:line="360" w:lineRule="auto"/>
        <w:ind w:left="284" w:hanging="284"/>
        <w:jc w:val="both"/>
        <w:rPr>
          <w:rFonts w:ascii="Times New Roman" w:hAnsi="Times New Roman"/>
          <w:bCs/>
          <w:sz w:val="24"/>
          <w:szCs w:val="24"/>
        </w:rPr>
      </w:pPr>
    </w:p>
    <w:p w14:paraId="4CB76C69" w14:textId="77777777" w:rsidR="00936876" w:rsidRPr="00417A14" w:rsidRDefault="00936876" w:rsidP="00936876">
      <w:r w:rsidRPr="00417A14">
        <w:fldChar w:fldCharType="begin"/>
      </w:r>
      <w:r w:rsidRPr="00417A14">
        <w:instrText xml:space="preserve"> ADDIN </w:instrText>
      </w:r>
      <w:r w:rsidRPr="00417A14">
        <w:fldChar w:fldCharType="end"/>
      </w:r>
      <w:bookmarkEnd w:id="0"/>
    </w:p>
    <w:p w14:paraId="33C6D68E" w14:textId="77777777" w:rsidR="00936876" w:rsidRPr="00417A14" w:rsidRDefault="00936876" w:rsidP="00936876"/>
    <w:p w14:paraId="6E21DA54" w14:textId="13E7AF12" w:rsidR="003C75BB" w:rsidRPr="00417A14" w:rsidRDefault="004F03C3"/>
    <w:sectPr w:rsidR="003C75BB" w:rsidRPr="00417A14" w:rsidSect="00D232F5">
      <w:headerReference w:type="even" r:id="rId11"/>
      <w:headerReference w:type="default" r:id="rId12"/>
      <w:footerReference w:type="even" r:id="rId13"/>
      <w:footerReference w:type="default" r:id="rId14"/>
      <w:headerReference w:type="first" r:id="rId15"/>
      <w:footerReference w:type="first" r:id="rId16"/>
      <w:pgSz w:w="11906" w:h="16838"/>
      <w:pgMar w:top="1440" w:right="170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D2103" w14:textId="77777777" w:rsidR="004F03C3" w:rsidRDefault="004F03C3">
      <w:pPr>
        <w:spacing w:after="0" w:line="240" w:lineRule="auto"/>
      </w:pPr>
      <w:r>
        <w:separator/>
      </w:r>
    </w:p>
  </w:endnote>
  <w:endnote w:type="continuationSeparator" w:id="0">
    <w:p w14:paraId="4C7CFADE" w14:textId="77777777" w:rsidR="004F03C3" w:rsidRDefault="004F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EB1B" w14:textId="77777777" w:rsidR="00C77E89" w:rsidRDefault="004F0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084203"/>
      <w:docPartObj>
        <w:docPartGallery w:val="Page Numbers (Bottom of Page)"/>
        <w:docPartUnique/>
      </w:docPartObj>
    </w:sdtPr>
    <w:sdtEndPr>
      <w:rPr>
        <w:noProof/>
      </w:rPr>
    </w:sdtEndPr>
    <w:sdtContent>
      <w:p w14:paraId="63AC2F37" w14:textId="50067684" w:rsidR="00C77E89" w:rsidRDefault="00936876">
        <w:pPr>
          <w:pStyle w:val="Footer"/>
          <w:jc w:val="center"/>
        </w:pPr>
        <w:r>
          <w:fldChar w:fldCharType="begin"/>
        </w:r>
        <w:r>
          <w:instrText xml:space="preserve"> PAGE   \* MERGEFORMAT </w:instrText>
        </w:r>
        <w:r>
          <w:fldChar w:fldCharType="separate"/>
        </w:r>
        <w:r w:rsidR="00587A53">
          <w:rPr>
            <w:noProof/>
          </w:rPr>
          <w:t>6</w:t>
        </w:r>
        <w:r>
          <w:rPr>
            <w:noProof/>
          </w:rPr>
          <w:fldChar w:fldCharType="end"/>
        </w:r>
      </w:p>
    </w:sdtContent>
  </w:sdt>
  <w:p w14:paraId="5F9C42B9" w14:textId="77777777" w:rsidR="00C77E89" w:rsidRDefault="004F0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0FE1" w14:textId="77777777" w:rsidR="00C77E89" w:rsidRDefault="004F0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47A18" w14:textId="77777777" w:rsidR="004F03C3" w:rsidRDefault="004F03C3">
      <w:pPr>
        <w:spacing w:after="0" w:line="240" w:lineRule="auto"/>
      </w:pPr>
      <w:r>
        <w:separator/>
      </w:r>
    </w:p>
  </w:footnote>
  <w:footnote w:type="continuationSeparator" w:id="0">
    <w:p w14:paraId="2C7FF839" w14:textId="77777777" w:rsidR="004F03C3" w:rsidRDefault="004F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C852" w14:textId="77777777" w:rsidR="00C77E89" w:rsidRDefault="004F0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52D7" w14:textId="77777777" w:rsidR="00C77E89" w:rsidRDefault="004F0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F518" w14:textId="77777777" w:rsidR="00C77E89" w:rsidRDefault="004F0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C7718"/>
    <w:multiLevelType w:val="hybridMultilevel"/>
    <w:tmpl w:val="AA889A68"/>
    <w:lvl w:ilvl="0" w:tplc="C3F08068">
      <w:start w:val="1"/>
      <w:numFmt w:val="lowerRoman"/>
      <w:lvlText w:val="%1."/>
      <w:lvlJc w:val="left"/>
      <w:pPr>
        <w:ind w:left="1080" w:hanging="72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06918"/>
    <w:multiLevelType w:val="multilevel"/>
    <w:tmpl w:val="0AE0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630F46"/>
    <w:multiLevelType w:val="multilevel"/>
    <w:tmpl w:val="C854E45C"/>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75833A5"/>
    <w:multiLevelType w:val="hybridMultilevel"/>
    <w:tmpl w:val="C8367A8A"/>
    <w:lvl w:ilvl="0" w:tplc="8CD8DB70">
      <w:start w:val="1"/>
      <w:numFmt w:val="lowerRoman"/>
      <w:lvlText w:val="%1."/>
      <w:lvlJc w:val="right"/>
      <w:pPr>
        <w:tabs>
          <w:tab w:val="num" w:pos="720"/>
        </w:tabs>
        <w:ind w:left="720" w:hanging="360"/>
      </w:pPr>
      <w:rPr>
        <w:b w:val="0"/>
      </w:rPr>
    </w:lvl>
    <w:lvl w:ilvl="1" w:tplc="C8EC9744" w:tentative="1">
      <w:start w:val="1"/>
      <w:numFmt w:val="decimal"/>
      <w:lvlText w:val="%2."/>
      <w:lvlJc w:val="left"/>
      <w:pPr>
        <w:tabs>
          <w:tab w:val="num" w:pos="1440"/>
        </w:tabs>
        <w:ind w:left="1440" w:hanging="360"/>
      </w:pPr>
    </w:lvl>
    <w:lvl w:ilvl="2" w:tplc="95100CD4" w:tentative="1">
      <w:start w:val="1"/>
      <w:numFmt w:val="decimal"/>
      <w:lvlText w:val="%3."/>
      <w:lvlJc w:val="left"/>
      <w:pPr>
        <w:tabs>
          <w:tab w:val="num" w:pos="2160"/>
        </w:tabs>
        <w:ind w:left="2160" w:hanging="360"/>
      </w:pPr>
    </w:lvl>
    <w:lvl w:ilvl="3" w:tplc="87AE8930" w:tentative="1">
      <w:start w:val="1"/>
      <w:numFmt w:val="decimal"/>
      <w:lvlText w:val="%4."/>
      <w:lvlJc w:val="left"/>
      <w:pPr>
        <w:tabs>
          <w:tab w:val="num" w:pos="2880"/>
        </w:tabs>
        <w:ind w:left="2880" w:hanging="360"/>
      </w:pPr>
    </w:lvl>
    <w:lvl w:ilvl="4" w:tplc="83B8BF18" w:tentative="1">
      <w:start w:val="1"/>
      <w:numFmt w:val="decimal"/>
      <w:lvlText w:val="%5."/>
      <w:lvlJc w:val="left"/>
      <w:pPr>
        <w:tabs>
          <w:tab w:val="num" w:pos="3600"/>
        </w:tabs>
        <w:ind w:left="3600" w:hanging="360"/>
      </w:pPr>
    </w:lvl>
    <w:lvl w:ilvl="5" w:tplc="98AA49DA" w:tentative="1">
      <w:start w:val="1"/>
      <w:numFmt w:val="decimal"/>
      <w:lvlText w:val="%6."/>
      <w:lvlJc w:val="left"/>
      <w:pPr>
        <w:tabs>
          <w:tab w:val="num" w:pos="4320"/>
        </w:tabs>
        <w:ind w:left="4320" w:hanging="360"/>
      </w:pPr>
    </w:lvl>
    <w:lvl w:ilvl="6" w:tplc="85720638" w:tentative="1">
      <w:start w:val="1"/>
      <w:numFmt w:val="decimal"/>
      <w:lvlText w:val="%7."/>
      <w:lvlJc w:val="left"/>
      <w:pPr>
        <w:tabs>
          <w:tab w:val="num" w:pos="5040"/>
        </w:tabs>
        <w:ind w:left="5040" w:hanging="360"/>
      </w:pPr>
    </w:lvl>
    <w:lvl w:ilvl="7" w:tplc="EA52F5A8" w:tentative="1">
      <w:start w:val="1"/>
      <w:numFmt w:val="decimal"/>
      <w:lvlText w:val="%8."/>
      <w:lvlJc w:val="left"/>
      <w:pPr>
        <w:tabs>
          <w:tab w:val="num" w:pos="5760"/>
        </w:tabs>
        <w:ind w:left="5760" w:hanging="360"/>
      </w:pPr>
    </w:lvl>
    <w:lvl w:ilvl="8" w:tplc="DE54D4CE" w:tentative="1">
      <w:start w:val="1"/>
      <w:numFmt w:val="decimal"/>
      <w:lvlText w:val="%9."/>
      <w:lvlJc w:val="left"/>
      <w:pPr>
        <w:tabs>
          <w:tab w:val="num" w:pos="6480"/>
        </w:tabs>
        <w:ind w:left="6480" w:hanging="360"/>
      </w:pPr>
    </w:lvl>
  </w:abstractNum>
  <w:abstractNum w:abstractNumId="4" w15:restartNumberingAfterBreak="0">
    <w:nsid w:val="7BE4352B"/>
    <w:multiLevelType w:val="hybridMultilevel"/>
    <w:tmpl w:val="BD284AB0"/>
    <w:lvl w:ilvl="0" w:tplc="A25EA24A">
      <w:start w:val="1"/>
      <w:numFmt w:val="bullet"/>
      <w:lvlText w:val="•"/>
      <w:lvlJc w:val="left"/>
      <w:pPr>
        <w:tabs>
          <w:tab w:val="num" w:pos="720"/>
        </w:tabs>
        <w:ind w:left="720" w:hanging="360"/>
      </w:pPr>
      <w:rPr>
        <w:rFonts w:ascii="Arial" w:hAnsi="Arial" w:hint="default"/>
      </w:rPr>
    </w:lvl>
    <w:lvl w:ilvl="1" w:tplc="A404B3EA" w:tentative="1">
      <w:start w:val="1"/>
      <w:numFmt w:val="bullet"/>
      <w:lvlText w:val="•"/>
      <w:lvlJc w:val="left"/>
      <w:pPr>
        <w:tabs>
          <w:tab w:val="num" w:pos="1440"/>
        </w:tabs>
        <w:ind w:left="1440" w:hanging="360"/>
      </w:pPr>
      <w:rPr>
        <w:rFonts w:ascii="Arial" w:hAnsi="Arial" w:hint="default"/>
      </w:rPr>
    </w:lvl>
    <w:lvl w:ilvl="2" w:tplc="98FC7BBA" w:tentative="1">
      <w:start w:val="1"/>
      <w:numFmt w:val="bullet"/>
      <w:lvlText w:val="•"/>
      <w:lvlJc w:val="left"/>
      <w:pPr>
        <w:tabs>
          <w:tab w:val="num" w:pos="2160"/>
        </w:tabs>
        <w:ind w:left="2160" w:hanging="360"/>
      </w:pPr>
      <w:rPr>
        <w:rFonts w:ascii="Arial" w:hAnsi="Arial" w:hint="default"/>
      </w:rPr>
    </w:lvl>
    <w:lvl w:ilvl="3" w:tplc="FEC2182C" w:tentative="1">
      <w:start w:val="1"/>
      <w:numFmt w:val="bullet"/>
      <w:lvlText w:val="•"/>
      <w:lvlJc w:val="left"/>
      <w:pPr>
        <w:tabs>
          <w:tab w:val="num" w:pos="2880"/>
        </w:tabs>
        <w:ind w:left="2880" w:hanging="360"/>
      </w:pPr>
      <w:rPr>
        <w:rFonts w:ascii="Arial" w:hAnsi="Arial" w:hint="default"/>
      </w:rPr>
    </w:lvl>
    <w:lvl w:ilvl="4" w:tplc="98AED4EE" w:tentative="1">
      <w:start w:val="1"/>
      <w:numFmt w:val="bullet"/>
      <w:lvlText w:val="•"/>
      <w:lvlJc w:val="left"/>
      <w:pPr>
        <w:tabs>
          <w:tab w:val="num" w:pos="3600"/>
        </w:tabs>
        <w:ind w:left="3600" w:hanging="360"/>
      </w:pPr>
      <w:rPr>
        <w:rFonts w:ascii="Arial" w:hAnsi="Arial" w:hint="default"/>
      </w:rPr>
    </w:lvl>
    <w:lvl w:ilvl="5" w:tplc="39F2415E" w:tentative="1">
      <w:start w:val="1"/>
      <w:numFmt w:val="bullet"/>
      <w:lvlText w:val="•"/>
      <w:lvlJc w:val="left"/>
      <w:pPr>
        <w:tabs>
          <w:tab w:val="num" w:pos="4320"/>
        </w:tabs>
        <w:ind w:left="4320" w:hanging="360"/>
      </w:pPr>
      <w:rPr>
        <w:rFonts w:ascii="Arial" w:hAnsi="Arial" w:hint="default"/>
      </w:rPr>
    </w:lvl>
    <w:lvl w:ilvl="6" w:tplc="2668C02A" w:tentative="1">
      <w:start w:val="1"/>
      <w:numFmt w:val="bullet"/>
      <w:lvlText w:val="•"/>
      <w:lvlJc w:val="left"/>
      <w:pPr>
        <w:tabs>
          <w:tab w:val="num" w:pos="5040"/>
        </w:tabs>
        <w:ind w:left="5040" w:hanging="360"/>
      </w:pPr>
      <w:rPr>
        <w:rFonts w:ascii="Arial" w:hAnsi="Arial" w:hint="default"/>
      </w:rPr>
    </w:lvl>
    <w:lvl w:ilvl="7" w:tplc="AD8C6442" w:tentative="1">
      <w:start w:val="1"/>
      <w:numFmt w:val="bullet"/>
      <w:lvlText w:val="•"/>
      <w:lvlJc w:val="left"/>
      <w:pPr>
        <w:tabs>
          <w:tab w:val="num" w:pos="5760"/>
        </w:tabs>
        <w:ind w:left="5760" w:hanging="360"/>
      </w:pPr>
      <w:rPr>
        <w:rFonts w:ascii="Arial" w:hAnsi="Arial" w:hint="default"/>
      </w:rPr>
    </w:lvl>
    <w:lvl w:ilvl="8" w:tplc="9450365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MjA0NTSwMLGwMLNQ0lEKTi0uzszPAykwqQUAt5FoySwAAAA="/>
    <w:docVar w:name="EN.Layout" w:val="&lt;ENLayout&gt;&lt;Style&gt;Springer Basic name-year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z9r9ed7zadxne0a0t5e5572x0farz0e0tp&quot;&gt;My EndNote Library&lt;record-ids&gt;&lt;item&gt;7&lt;/item&gt;&lt;item&gt;8&lt;/item&gt;&lt;item&gt;9&lt;/item&gt;&lt;item&gt;10&lt;/item&gt;&lt;item&gt;11&lt;/item&gt;&lt;item&gt;12&lt;/item&gt;&lt;item&gt;13&lt;/item&gt;&lt;item&gt;15&lt;/item&gt;&lt;item&gt;16&lt;/item&gt;&lt;item&gt;17&lt;/item&gt;&lt;item&gt;23&lt;/item&gt;&lt;item&gt;24&lt;/item&gt;&lt;item&gt;26&lt;/item&gt;&lt;item&gt;27&lt;/item&gt;&lt;item&gt;30&lt;/item&gt;&lt;item&gt;31&lt;/item&gt;&lt;item&gt;33&lt;/item&gt;&lt;item&gt;34&lt;/item&gt;&lt;item&gt;36&lt;/item&gt;&lt;item&gt;37&lt;/item&gt;&lt;item&gt;38&lt;/item&gt;&lt;item&gt;39&lt;/item&gt;&lt;item&gt;40&lt;/item&gt;&lt;item&gt;41&lt;/item&gt;&lt;item&gt;85&lt;/item&gt;&lt;item&gt;86&lt;/item&gt;&lt;item&gt;87&lt;/item&gt;&lt;item&gt;88&lt;/item&gt;&lt;item&gt;89&lt;/item&gt;&lt;item&gt;90&lt;/item&gt;&lt;item&gt;91&lt;/item&gt;&lt;item&gt;101&lt;/item&gt;&lt;item&gt;233&lt;/item&gt;&lt;item&gt;564&lt;/item&gt;&lt;item&gt;565&lt;/item&gt;&lt;item&gt;579&lt;/item&gt;&lt;item&gt;580&lt;/item&gt;&lt;item&gt;582&lt;/item&gt;&lt;item&gt;845&lt;/item&gt;&lt;item&gt;856&lt;/item&gt;&lt;item&gt;858&lt;/item&gt;&lt;item&gt;879&lt;/item&gt;&lt;item&gt;880&lt;/item&gt;&lt;item&gt;881&lt;/item&gt;&lt;item&gt;882&lt;/item&gt;&lt;item&gt;883&lt;/item&gt;&lt;/record-ids&gt;&lt;/item&gt;&lt;/Libraries&gt;"/>
  </w:docVars>
  <w:rsids>
    <w:rsidRoot w:val="00936876"/>
    <w:rsid w:val="001F32E2"/>
    <w:rsid w:val="002A1468"/>
    <w:rsid w:val="00417A14"/>
    <w:rsid w:val="004A25C4"/>
    <w:rsid w:val="004F03C3"/>
    <w:rsid w:val="005304D0"/>
    <w:rsid w:val="00587A53"/>
    <w:rsid w:val="00634879"/>
    <w:rsid w:val="00751A1E"/>
    <w:rsid w:val="00936876"/>
    <w:rsid w:val="00976EC0"/>
    <w:rsid w:val="00AB0E4B"/>
    <w:rsid w:val="00AF3EC7"/>
    <w:rsid w:val="00C822EF"/>
    <w:rsid w:val="00D7191D"/>
    <w:rsid w:val="00EB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1DB99E"/>
  <w15:chartTrackingRefBased/>
  <w15:docId w15:val="{DA07F547-CED7-4AE8-9A38-45DB37BA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876"/>
    <w:rPr>
      <w:rFonts w:ascii="Calibri" w:eastAsia="Calibri" w:hAnsi="Calibri"/>
      <w:sz w:val="22"/>
      <w:szCs w:val="22"/>
    </w:rPr>
  </w:style>
  <w:style w:type="paragraph" w:styleId="Heading1">
    <w:name w:val="heading 1"/>
    <w:basedOn w:val="Normal"/>
    <w:link w:val="Heading1Char"/>
    <w:uiPriority w:val="9"/>
    <w:qFormat/>
    <w:rsid w:val="00936876"/>
    <w:pPr>
      <w:spacing w:before="100" w:beforeAutospacing="1" w:after="100" w:afterAutospacing="1" w:line="240" w:lineRule="auto"/>
      <w:outlineLvl w:val="0"/>
    </w:pPr>
    <w:rPr>
      <w:rFonts w:ascii="Times New Roman" w:eastAsia="Times New Roman" w:hAnsi="Times New Roman"/>
      <w:b/>
      <w:bCs/>
      <w:kern w:val="36"/>
      <w:sz w:val="24"/>
      <w:szCs w:val="48"/>
      <w:lang w:eastAsia="en-GB"/>
    </w:rPr>
  </w:style>
  <w:style w:type="paragraph" w:styleId="Heading2">
    <w:name w:val="heading 2"/>
    <w:basedOn w:val="Normal"/>
    <w:next w:val="Normal"/>
    <w:link w:val="Heading2Char"/>
    <w:uiPriority w:val="9"/>
    <w:unhideWhenUsed/>
    <w:qFormat/>
    <w:rsid w:val="00936876"/>
    <w:pPr>
      <w:keepNext/>
      <w:keepLines/>
      <w:spacing w:before="200" w:after="0"/>
      <w:outlineLvl w:val="1"/>
    </w:pPr>
    <w:rPr>
      <w:rFonts w:ascii="Times New Roman" w:eastAsiaTheme="majorEastAsia" w:hAnsi="Times New Roman" w:cstheme="majorBidi"/>
      <w:b/>
      <w:bCs/>
      <w:sz w:val="24"/>
      <w:szCs w:val="26"/>
    </w:rPr>
  </w:style>
  <w:style w:type="paragraph" w:styleId="Heading4">
    <w:name w:val="heading 4"/>
    <w:basedOn w:val="Normal"/>
    <w:next w:val="Normal"/>
    <w:link w:val="Heading4Char"/>
    <w:uiPriority w:val="9"/>
    <w:unhideWhenUsed/>
    <w:qFormat/>
    <w:rsid w:val="00936876"/>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E4B"/>
    <w:pPr>
      <w:spacing w:after="0" w:line="240" w:lineRule="auto"/>
    </w:pPr>
    <w:rPr>
      <w:rFonts w:eastAsia="Calibri"/>
    </w:rPr>
  </w:style>
  <w:style w:type="character" w:customStyle="1" w:styleId="Heading1Char">
    <w:name w:val="Heading 1 Char"/>
    <w:basedOn w:val="DefaultParagraphFont"/>
    <w:link w:val="Heading1"/>
    <w:uiPriority w:val="9"/>
    <w:rsid w:val="00936876"/>
    <w:rPr>
      <w:rFonts w:eastAsia="Times New Roman"/>
      <w:b/>
      <w:bCs/>
      <w:kern w:val="36"/>
      <w:szCs w:val="48"/>
      <w:lang w:eastAsia="en-GB"/>
    </w:rPr>
  </w:style>
  <w:style w:type="character" w:customStyle="1" w:styleId="Heading2Char">
    <w:name w:val="Heading 2 Char"/>
    <w:basedOn w:val="DefaultParagraphFont"/>
    <w:link w:val="Heading2"/>
    <w:uiPriority w:val="9"/>
    <w:rsid w:val="00936876"/>
    <w:rPr>
      <w:rFonts w:eastAsiaTheme="majorEastAsia" w:cstheme="majorBidi"/>
      <w:b/>
      <w:bCs/>
      <w:szCs w:val="26"/>
    </w:rPr>
  </w:style>
  <w:style w:type="character" w:customStyle="1" w:styleId="Heading4Char">
    <w:name w:val="Heading 4 Char"/>
    <w:basedOn w:val="DefaultParagraphFont"/>
    <w:link w:val="Heading4"/>
    <w:uiPriority w:val="9"/>
    <w:rsid w:val="00936876"/>
    <w:rPr>
      <w:rFonts w:ascii="Calibri" w:eastAsiaTheme="majorEastAsia" w:hAnsi="Calibri" w:cstheme="majorBidi"/>
      <w:b/>
      <w:bCs/>
      <w:iCs/>
      <w:sz w:val="22"/>
      <w:szCs w:val="22"/>
    </w:rPr>
  </w:style>
  <w:style w:type="character" w:customStyle="1" w:styleId="apple-style-span">
    <w:name w:val="apple-style-span"/>
    <w:basedOn w:val="DefaultParagraphFont"/>
    <w:rsid w:val="00936876"/>
  </w:style>
  <w:style w:type="character" w:customStyle="1" w:styleId="A5">
    <w:name w:val="A5"/>
    <w:uiPriority w:val="99"/>
    <w:rsid w:val="00936876"/>
    <w:rPr>
      <w:color w:val="000000"/>
      <w:sz w:val="20"/>
      <w:szCs w:val="20"/>
    </w:rPr>
  </w:style>
  <w:style w:type="paragraph" w:styleId="ListParagraph">
    <w:name w:val="List Paragraph"/>
    <w:basedOn w:val="Normal"/>
    <w:uiPriority w:val="34"/>
    <w:qFormat/>
    <w:rsid w:val="00936876"/>
    <w:pPr>
      <w:spacing w:after="0" w:line="240" w:lineRule="auto"/>
      <w:ind w:left="720"/>
      <w:contextualSpacing/>
    </w:pPr>
    <w:rPr>
      <w:rFonts w:ascii="Times New Roman" w:eastAsia="Times New Roman" w:hAnsi="Times New Roman"/>
      <w:color w:val="1F497D" w:themeColor="text2"/>
      <w:sz w:val="24"/>
      <w:szCs w:val="24"/>
      <w:lang w:val="en-GB"/>
    </w:rPr>
  </w:style>
  <w:style w:type="paragraph" w:customStyle="1" w:styleId="Default">
    <w:name w:val="Default"/>
    <w:rsid w:val="00936876"/>
    <w:pPr>
      <w:autoSpaceDE w:val="0"/>
      <w:autoSpaceDN w:val="0"/>
      <w:adjustRightInd w:val="0"/>
      <w:spacing w:after="0" w:line="240" w:lineRule="auto"/>
    </w:pPr>
    <w:rPr>
      <w:color w:val="000000"/>
      <w:lang w:val="en-GB"/>
    </w:rPr>
  </w:style>
  <w:style w:type="table" w:styleId="TableGrid">
    <w:name w:val="Table Grid"/>
    <w:basedOn w:val="TableNormal"/>
    <w:uiPriority w:val="59"/>
    <w:rsid w:val="0093687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36876"/>
    <w:pPr>
      <w:spacing w:line="240" w:lineRule="auto"/>
    </w:pPr>
    <w:rPr>
      <w:rFonts w:ascii="Times New Roman" w:eastAsiaTheme="minorHAnsi" w:hAnsi="Times New Roman" w:cstheme="minorBidi"/>
      <w:b/>
      <w:bCs/>
      <w:color w:val="4F81BD" w:themeColor="accent1"/>
      <w:sz w:val="18"/>
      <w:szCs w:val="18"/>
      <w:lang w:val="en-GB"/>
    </w:rPr>
  </w:style>
  <w:style w:type="paragraph" w:customStyle="1" w:styleId="hangingentry">
    <w:name w:val="hangingentry"/>
    <w:basedOn w:val="Normal"/>
    <w:rsid w:val="00936876"/>
    <w:pPr>
      <w:spacing w:before="45" w:after="0" w:line="240" w:lineRule="auto"/>
      <w:ind w:left="450" w:hanging="225"/>
    </w:pPr>
    <w:rPr>
      <w:rFonts w:ascii="Times New Roman" w:eastAsia="Times New Roman" w:hAnsi="Times New Roman"/>
      <w:color w:val="1F497D" w:themeColor="text2"/>
      <w:sz w:val="24"/>
      <w:szCs w:val="24"/>
    </w:rPr>
  </w:style>
  <w:style w:type="character" w:customStyle="1" w:styleId="headword">
    <w:name w:val="headword"/>
    <w:basedOn w:val="DefaultParagraphFont"/>
    <w:rsid w:val="00936876"/>
    <w:rPr>
      <w:rFonts w:ascii="Verdana" w:hAnsi="Verdana" w:hint="default"/>
      <w:b/>
      <w:bCs/>
      <w:color w:val="000080"/>
      <w:sz w:val="21"/>
      <w:szCs w:val="21"/>
    </w:rPr>
  </w:style>
  <w:style w:type="paragraph" w:styleId="BalloonText">
    <w:name w:val="Balloon Text"/>
    <w:basedOn w:val="Normal"/>
    <w:link w:val="BalloonTextChar"/>
    <w:uiPriority w:val="99"/>
    <w:semiHidden/>
    <w:unhideWhenUsed/>
    <w:rsid w:val="00936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76"/>
    <w:rPr>
      <w:rFonts w:ascii="Tahoma" w:eastAsia="Calibri" w:hAnsi="Tahoma" w:cs="Tahoma"/>
      <w:sz w:val="16"/>
      <w:szCs w:val="16"/>
    </w:rPr>
  </w:style>
  <w:style w:type="paragraph" w:customStyle="1" w:styleId="EndNoteBibliographyTitle">
    <w:name w:val="EndNote Bibliography Title"/>
    <w:basedOn w:val="Normal"/>
    <w:link w:val="EndNoteBibliographyTitleChar"/>
    <w:rsid w:val="00936876"/>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936876"/>
    <w:rPr>
      <w:rFonts w:ascii="Calibri" w:eastAsia="Calibri" w:hAnsi="Calibri" w:cs="Calibri"/>
      <w:noProof/>
      <w:sz w:val="22"/>
      <w:szCs w:val="22"/>
    </w:rPr>
  </w:style>
  <w:style w:type="paragraph" w:customStyle="1" w:styleId="EndNoteBibliography">
    <w:name w:val="EndNote Bibliography"/>
    <w:basedOn w:val="Normal"/>
    <w:link w:val="EndNoteBibliographyChar"/>
    <w:rsid w:val="00936876"/>
    <w:pPr>
      <w:spacing w:line="240" w:lineRule="auto"/>
    </w:pPr>
    <w:rPr>
      <w:rFonts w:cs="Calibri"/>
      <w:noProof/>
    </w:rPr>
  </w:style>
  <w:style w:type="character" w:customStyle="1" w:styleId="EndNoteBibliographyChar">
    <w:name w:val="EndNote Bibliography Char"/>
    <w:basedOn w:val="DefaultParagraphFont"/>
    <w:link w:val="EndNoteBibliography"/>
    <w:rsid w:val="00936876"/>
    <w:rPr>
      <w:rFonts w:ascii="Calibri" w:eastAsia="Calibri" w:hAnsi="Calibri" w:cs="Calibri"/>
      <w:noProof/>
      <w:sz w:val="22"/>
      <w:szCs w:val="22"/>
    </w:rPr>
  </w:style>
  <w:style w:type="paragraph" w:styleId="Header">
    <w:name w:val="header"/>
    <w:basedOn w:val="Normal"/>
    <w:link w:val="HeaderChar"/>
    <w:uiPriority w:val="99"/>
    <w:unhideWhenUsed/>
    <w:rsid w:val="00936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876"/>
    <w:rPr>
      <w:rFonts w:ascii="Calibri" w:eastAsia="Calibri" w:hAnsi="Calibri"/>
      <w:sz w:val="22"/>
      <w:szCs w:val="22"/>
    </w:rPr>
  </w:style>
  <w:style w:type="paragraph" w:styleId="Footer">
    <w:name w:val="footer"/>
    <w:basedOn w:val="Normal"/>
    <w:link w:val="FooterChar"/>
    <w:uiPriority w:val="99"/>
    <w:unhideWhenUsed/>
    <w:rsid w:val="00936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876"/>
    <w:rPr>
      <w:rFonts w:ascii="Calibri" w:eastAsia="Calibri" w:hAnsi="Calibri"/>
      <w:sz w:val="22"/>
      <w:szCs w:val="22"/>
    </w:rPr>
  </w:style>
  <w:style w:type="character" w:styleId="LineNumber">
    <w:name w:val="line number"/>
    <w:basedOn w:val="DefaultParagraphFont"/>
    <w:uiPriority w:val="99"/>
    <w:semiHidden/>
    <w:unhideWhenUsed/>
    <w:rsid w:val="00936876"/>
  </w:style>
  <w:style w:type="character" w:styleId="CommentReference">
    <w:name w:val="annotation reference"/>
    <w:basedOn w:val="DefaultParagraphFont"/>
    <w:uiPriority w:val="99"/>
    <w:semiHidden/>
    <w:unhideWhenUsed/>
    <w:rsid w:val="00936876"/>
    <w:rPr>
      <w:sz w:val="16"/>
      <w:szCs w:val="16"/>
    </w:rPr>
  </w:style>
  <w:style w:type="paragraph" w:styleId="CommentText">
    <w:name w:val="annotation text"/>
    <w:basedOn w:val="Normal"/>
    <w:link w:val="CommentTextChar"/>
    <w:uiPriority w:val="99"/>
    <w:semiHidden/>
    <w:unhideWhenUsed/>
    <w:rsid w:val="00936876"/>
    <w:pPr>
      <w:spacing w:line="240" w:lineRule="auto"/>
    </w:pPr>
    <w:rPr>
      <w:sz w:val="20"/>
      <w:szCs w:val="20"/>
    </w:rPr>
  </w:style>
  <w:style w:type="character" w:customStyle="1" w:styleId="CommentTextChar">
    <w:name w:val="Comment Text Char"/>
    <w:basedOn w:val="DefaultParagraphFont"/>
    <w:link w:val="CommentText"/>
    <w:uiPriority w:val="99"/>
    <w:semiHidden/>
    <w:rsid w:val="00936876"/>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936876"/>
    <w:rPr>
      <w:b/>
      <w:bCs/>
    </w:rPr>
  </w:style>
  <w:style w:type="character" w:customStyle="1" w:styleId="CommentSubjectChar">
    <w:name w:val="Comment Subject Char"/>
    <w:basedOn w:val="CommentTextChar"/>
    <w:link w:val="CommentSubject"/>
    <w:uiPriority w:val="99"/>
    <w:semiHidden/>
    <w:rsid w:val="00936876"/>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ju%20Emmanuel\Desktop\Agronomy%20journal\Result%20output\data%20-%20ommiss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ju%20Emmanuel\Desktop\Agronomy%20journal\Result%20output\data%20-%20ommiss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ju%20Emmanuel\Desktop\Agronomy%20journal\Result%20output\data%20-%20ommiss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ju%20Emmanuel\Desktop\Agronomy%20journal\Result%20output\data%20-%20ommission.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'for figure'!$B$3</c:f>
              <c:strCache>
                <c:ptCount val="1"/>
                <c:pt idx="0">
                  <c:v>Grain nitrogen</c:v>
                </c:pt>
              </c:strCache>
            </c:strRef>
          </c:tx>
          <c:spPr>
            <a:solidFill>
              <a:schemeClr val="accent1"/>
            </a:solidFill>
            <a:ln>
              <a:noFill/>
            </a:ln>
            <a:effectLst/>
          </c:spPr>
          <c:invertIfNegative val="0"/>
          <c:dLbls>
            <c:dLbl>
              <c:idx val="0"/>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380-4FB6-B028-B9BC8FAA7BC6}"/>
                </c:ext>
              </c:extLst>
            </c:dLbl>
            <c:dLbl>
              <c:idx val="1"/>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380-4FB6-B028-B9BC8FAA7BC6}"/>
                </c:ext>
              </c:extLst>
            </c:dLbl>
            <c:dLbl>
              <c:idx val="2"/>
              <c:tx>
                <c:rich>
                  <a:bodyPr/>
                  <a:lstStyle/>
                  <a:p>
                    <a:r>
                      <a:rPr lang="en-US" b="1">
                        <a:solidFill>
                          <a:sysClr val="windowText" lastClr="000000"/>
                        </a:solidFill>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380-4FB6-B028-B9BC8FAA7BC6}"/>
                </c:ext>
              </c:extLst>
            </c:dLbl>
            <c:dLbl>
              <c:idx val="3"/>
              <c:tx>
                <c:rich>
                  <a:bodyPr/>
                  <a:lstStyle/>
                  <a:p>
                    <a:r>
                      <a:rPr lang="en-US" b="1">
                        <a:solidFill>
                          <a:sysClr val="windowText" lastClr="000000"/>
                        </a:solidFill>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380-4FB6-B028-B9BC8FAA7BC6}"/>
                </c:ext>
              </c:extLst>
            </c:dLbl>
            <c:dLbl>
              <c:idx val="4"/>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380-4FB6-B028-B9BC8FAA7BC6}"/>
                </c:ext>
              </c:extLst>
            </c:dLbl>
            <c:dLbl>
              <c:idx val="5"/>
              <c:tx>
                <c:rich>
                  <a:bodyPr/>
                  <a:lstStyle/>
                  <a:p>
                    <a:r>
                      <a:rPr lang="en-US" b="1">
                        <a:solidFill>
                          <a:sysClr val="windowText" lastClr="000000"/>
                        </a:solidFill>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380-4FB6-B028-B9BC8FAA7BC6}"/>
                </c:ext>
              </c:extLst>
            </c:dLbl>
            <c:dLbl>
              <c:idx val="6"/>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380-4FB6-B028-B9BC8FAA7BC6}"/>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'for figure'!$A$4:$A$10</c:f>
              <c:strCache>
                <c:ptCount val="7"/>
                <c:pt idx="0">
                  <c:v>0 - 0 - 0</c:v>
                </c:pt>
                <c:pt idx="1">
                  <c:v>10 – 15 – 10</c:v>
                </c:pt>
                <c:pt idx="2">
                  <c:v>20 – 15 – 20</c:v>
                </c:pt>
                <c:pt idx="3">
                  <c:v>20 – 30 – 10</c:v>
                </c:pt>
                <c:pt idx="4">
                  <c:v>20 – 30 – 20</c:v>
                </c:pt>
                <c:pt idx="5">
                  <c:v>20 – 45 – 20</c:v>
                </c:pt>
                <c:pt idx="6">
                  <c:v>30 – 45 - 30</c:v>
                </c:pt>
              </c:strCache>
            </c:strRef>
          </c:cat>
          <c:val>
            <c:numRef>
              <c:f>'for figure'!$B$4:$B$10</c:f>
              <c:numCache>
                <c:formatCode>0.00</c:formatCode>
                <c:ptCount val="7"/>
                <c:pt idx="0">
                  <c:v>3.07</c:v>
                </c:pt>
                <c:pt idx="1">
                  <c:v>3.827</c:v>
                </c:pt>
                <c:pt idx="2">
                  <c:v>4.5410000000000004</c:v>
                </c:pt>
                <c:pt idx="3">
                  <c:v>4.883</c:v>
                </c:pt>
                <c:pt idx="4">
                  <c:v>4.7460000000000004</c:v>
                </c:pt>
                <c:pt idx="5">
                  <c:v>5.0190000000000001</c:v>
                </c:pt>
                <c:pt idx="6">
                  <c:v>6.4219999999999997</c:v>
                </c:pt>
              </c:numCache>
            </c:numRef>
          </c:val>
          <c:extLst>
            <c:ext xmlns:c16="http://schemas.microsoft.com/office/drawing/2014/chart" uri="{C3380CC4-5D6E-409C-BE32-E72D297353CC}">
              <c16:uniqueId val="{00000007-5380-4FB6-B028-B9BC8FAA7BC6}"/>
            </c:ext>
          </c:extLst>
        </c:ser>
        <c:ser>
          <c:idx val="1"/>
          <c:order val="1"/>
          <c:tx>
            <c:strRef>
              <c:f>'for figure'!$C$3</c:f>
              <c:strCache>
                <c:ptCount val="1"/>
                <c:pt idx="0">
                  <c:v>Grain phosphorus</c:v>
                </c:pt>
              </c:strCache>
            </c:strRef>
          </c:tx>
          <c:spPr>
            <a:solidFill>
              <a:schemeClr val="accent2"/>
            </a:solidFill>
            <a:ln>
              <a:noFill/>
            </a:ln>
            <a:effectLst/>
          </c:spPr>
          <c:invertIfNegative val="0"/>
          <c:dLbls>
            <c:dLbl>
              <c:idx val="0"/>
              <c:tx>
                <c:rich>
                  <a:bodyPr/>
                  <a:lstStyle/>
                  <a:p>
                    <a:r>
                      <a:rPr lang="en-US" sz="1000" b="1">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380-4FB6-B028-B9BC8FAA7BC6}"/>
                </c:ext>
              </c:extLst>
            </c:dLbl>
            <c:dLbl>
              <c:idx val="1"/>
              <c:tx>
                <c:rich>
                  <a:bodyPr/>
                  <a:lstStyle/>
                  <a:p>
                    <a:r>
                      <a:rPr lang="en-US" sz="1000" b="1">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380-4FB6-B028-B9BC8FAA7BC6}"/>
                </c:ext>
              </c:extLst>
            </c:dLbl>
            <c:dLbl>
              <c:idx val="2"/>
              <c:tx>
                <c:rich>
                  <a:bodyPr/>
                  <a:lstStyle/>
                  <a:p>
                    <a:r>
                      <a:rPr lang="en-US" sz="1000" b="1">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380-4FB6-B028-B9BC8FAA7BC6}"/>
                </c:ext>
              </c:extLst>
            </c:dLbl>
            <c:dLbl>
              <c:idx val="3"/>
              <c:tx>
                <c:rich>
                  <a:bodyPr/>
                  <a:lstStyle/>
                  <a:p>
                    <a:r>
                      <a:rPr lang="en-US" sz="1000">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380-4FB6-B028-B9BC8FAA7BC6}"/>
                </c:ext>
              </c:extLst>
            </c:dLbl>
            <c:dLbl>
              <c:idx val="4"/>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380-4FB6-B028-B9BC8FAA7BC6}"/>
                </c:ext>
              </c:extLst>
            </c:dLbl>
            <c:dLbl>
              <c:idx val="5"/>
              <c:tx>
                <c:rich>
                  <a:bodyPr/>
                  <a:lstStyle/>
                  <a:p>
                    <a:r>
                      <a:rPr lang="en-US" sz="1000" b="1">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5380-4FB6-B028-B9BC8FAA7BC6}"/>
                </c:ext>
              </c:extLst>
            </c:dLbl>
            <c:dLbl>
              <c:idx val="6"/>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5380-4FB6-B028-B9BC8FAA7BC6}"/>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'for figure'!$A$4:$A$10</c:f>
              <c:strCache>
                <c:ptCount val="7"/>
                <c:pt idx="0">
                  <c:v>0 - 0 - 0</c:v>
                </c:pt>
                <c:pt idx="1">
                  <c:v>10 – 15 – 10</c:v>
                </c:pt>
                <c:pt idx="2">
                  <c:v>20 – 15 – 20</c:v>
                </c:pt>
                <c:pt idx="3">
                  <c:v>20 – 30 – 10</c:v>
                </c:pt>
                <c:pt idx="4">
                  <c:v>20 – 30 – 20</c:v>
                </c:pt>
                <c:pt idx="5">
                  <c:v>20 – 45 – 20</c:v>
                </c:pt>
                <c:pt idx="6">
                  <c:v>30 – 45 - 30</c:v>
                </c:pt>
              </c:strCache>
            </c:strRef>
          </c:cat>
          <c:val>
            <c:numRef>
              <c:f>'for figure'!$C$4:$C$10</c:f>
              <c:numCache>
                <c:formatCode>0.00</c:formatCode>
                <c:ptCount val="7"/>
                <c:pt idx="0">
                  <c:v>0.39200000000000002</c:v>
                </c:pt>
                <c:pt idx="1">
                  <c:v>0.41599999999999998</c:v>
                </c:pt>
                <c:pt idx="2">
                  <c:v>0.495</c:v>
                </c:pt>
                <c:pt idx="3">
                  <c:v>0.53600000000000003</c:v>
                </c:pt>
                <c:pt idx="4">
                  <c:v>0.55500000000000005</c:v>
                </c:pt>
                <c:pt idx="5">
                  <c:v>0.60599999999999998</c:v>
                </c:pt>
                <c:pt idx="6">
                  <c:v>0.70599999999999996</c:v>
                </c:pt>
              </c:numCache>
            </c:numRef>
          </c:val>
          <c:extLst>
            <c:ext xmlns:c16="http://schemas.microsoft.com/office/drawing/2014/chart" uri="{C3380CC4-5D6E-409C-BE32-E72D297353CC}">
              <c16:uniqueId val="{0000000F-5380-4FB6-B028-B9BC8FAA7BC6}"/>
            </c:ext>
          </c:extLst>
        </c:ser>
        <c:ser>
          <c:idx val="2"/>
          <c:order val="2"/>
          <c:tx>
            <c:strRef>
              <c:f>'for figure'!$D$3</c:f>
              <c:strCache>
                <c:ptCount val="1"/>
                <c:pt idx="0">
                  <c:v>Grain potassium</c:v>
                </c:pt>
              </c:strCache>
            </c:strRef>
          </c:tx>
          <c:spPr>
            <a:solidFill>
              <a:schemeClr val="accent3"/>
            </a:solidFill>
            <a:ln>
              <a:noFill/>
            </a:ln>
            <a:effectLst/>
          </c:spPr>
          <c:invertIfNegative val="0"/>
          <c:dLbls>
            <c:dLbl>
              <c:idx val="0"/>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5380-4FB6-B028-B9BC8FAA7BC6}"/>
                </c:ext>
              </c:extLst>
            </c:dLbl>
            <c:dLbl>
              <c:idx val="1"/>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5380-4FB6-B028-B9BC8FAA7BC6}"/>
                </c:ext>
              </c:extLst>
            </c:dLbl>
            <c:dLbl>
              <c:idx val="2"/>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5380-4FB6-B028-B9BC8FAA7BC6}"/>
                </c:ext>
              </c:extLst>
            </c:dLbl>
            <c:dLbl>
              <c:idx val="3"/>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5380-4FB6-B028-B9BC8FAA7BC6}"/>
                </c:ext>
              </c:extLst>
            </c:dLbl>
            <c:dLbl>
              <c:idx val="4"/>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5380-4FB6-B028-B9BC8FAA7BC6}"/>
                </c:ext>
              </c:extLst>
            </c:dLbl>
            <c:dLbl>
              <c:idx val="5"/>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5380-4FB6-B028-B9BC8FAA7BC6}"/>
                </c:ext>
              </c:extLst>
            </c:dLbl>
            <c:dLbl>
              <c:idx val="6"/>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5380-4FB6-B028-B9BC8FAA7BC6}"/>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'for figure'!$A$4:$A$10</c:f>
              <c:strCache>
                <c:ptCount val="7"/>
                <c:pt idx="0">
                  <c:v>0 - 0 - 0</c:v>
                </c:pt>
                <c:pt idx="1">
                  <c:v>10 – 15 – 10</c:v>
                </c:pt>
                <c:pt idx="2">
                  <c:v>20 – 15 – 20</c:v>
                </c:pt>
                <c:pt idx="3">
                  <c:v>20 – 30 – 10</c:v>
                </c:pt>
                <c:pt idx="4">
                  <c:v>20 – 30 – 20</c:v>
                </c:pt>
                <c:pt idx="5">
                  <c:v>20 – 45 – 20</c:v>
                </c:pt>
                <c:pt idx="6">
                  <c:v>30 – 45 - 30</c:v>
                </c:pt>
              </c:strCache>
            </c:strRef>
          </c:cat>
          <c:val>
            <c:numRef>
              <c:f>'for figure'!$D$4:$D$10</c:f>
              <c:numCache>
                <c:formatCode>0.00</c:formatCode>
                <c:ptCount val="7"/>
                <c:pt idx="0">
                  <c:v>1.5389999999999999</c:v>
                </c:pt>
                <c:pt idx="1">
                  <c:v>2.0030000000000001</c:v>
                </c:pt>
                <c:pt idx="2">
                  <c:v>2.3839999999999999</c:v>
                </c:pt>
                <c:pt idx="3">
                  <c:v>2.3860000000000001</c:v>
                </c:pt>
                <c:pt idx="4">
                  <c:v>2.5089999999999999</c:v>
                </c:pt>
                <c:pt idx="5">
                  <c:v>2.6709999999999998</c:v>
                </c:pt>
                <c:pt idx="6">
                  <c:v>3.266</c:v>
                </c:pt>
              </c:numCache>
            </c:numRef>
          </c:val>
          <c:extLst>
            <c:ext xmlns:c16="http://schemas.microsoft.com/office/drawing/2014/chart" uri="{C3380CC4-5D6E-409C-BE32-E72D297353CC}">
              <c16:uniqueId val="{00000017-5380-4FB6-B028-B9BC8FAA7BC6}"/>
            </c:ext>
          </c:extLst>
        </c:ser>
        <c:dLbls>
          <c:dLblPos val="outEnd"/>
          <c:showLegendKey val="0"/>
          <c:showVal val="1"/>
          <c:showCatName val="0"/>
          <c:showSerName val="0"/>
          <c:showPercent val="0"/>
          <c:showBubbleSize val="0"/>
        </c:dLbls>
        <c:gapWidth val="219"/>
        <c:overlap val="-27"/>
        <c:axId val="568076056"/>
        <c:axId val="568076384"/>
      </c:barChart>
      <c:catAx>
        <c:axId val="5680760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solidFill>
                      <a:sysClr val="windowText" lastClr="000000"/>
                    </a:solidFill>
                  </a:rPr>
                  <a:t> </a:t>
                </a:r>
                <a:r>
                  <a:rPr lang="en-US">
                    <a:solidFill>
                      <a:sysClr val="windowText" lastClr="000000"/>
                    </a:solidFill>
                  </a:rPr>
                  <a:t>Treatments (N-P</a:t>
                </a:r>
                <a:r>
                  <a:rPr lang="en-US" baseline="-25000">
                    <a:solidFill>
                      <a:sysClr val="windowText" lastClr="000000"/>
                    </a:solidFill>
                  </a:rPr>
                  <a:t>2</a:t>
                </a:r>
                <a:r>
                  <a:rPr lang="en-US">
                    <a:solidFill>
                      <a:sysClr val="windowText" lastClr="000000"/>
                    </a:solidFill>
                  </a:rPr>
                  <a:t>O</a:t>
                </a:r>
                <a:r>
                  <a:rPr lang="en-US" baseline="-25000">
                    <a:solidFill>
                      <a:sysClr val="windowText" lastClr="000000"/>
                    </a:solidFill>
                  </a:rPr>
                  <a:t>5</a:t>
                </a:r>
                <a:r>
                  <a:rPr lang="en-US">
                    <a:solidFill>
                      <a:sysClr val="windowText" lastClr="000000"/>
                    </a:solidFill>
                  </a:rPr>
                  <a:t>-K</a:t>
                </a:r>
                <a:r>
                  <a:rPr lang="en-US" baseline="-25000">
                    <a:solidFill>
                      <a:sysClr val="windowText" lastClr="000000"/>
                    </a:solidFill>
                  </a:rPr>
                  <a:t>2</a:t>
                </a:r>
                <a:r>
                  <a:rPr lang="en-US">
                    <a:solidFill>
                      <a:sysClr val="windowText" lastClr="000000"/>
                    </a:solidFill>
                  </a:rPr>
                  <a:t>O, kg/ha)   </a:t>
                </a:r>
                <a:endParaRPr lang="en-GB">
                  <a:solidFill>
                    <a:sysClr val="windowText" lastClr="000000"/>
                  </a:solidFill>
                </a:endParaRPr>
              </a:p>
            </c:rich>
          </c:tx>
          <c:layout>
            <c:manualLayout>
              <c:xMode val="edge"/>
              <c:yMode val="edge"/>
              <c:x val="0.30748272090988626"/>
              <c:y val="0.9145177165354331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8076384"/>
        <c:crosses val="autoZero"/>
        <c:auto val="1"/>
        <c:lblAlgn val="ctr"/>
        <c:lblOffset val="100"/>
        <c:noMultiLvlLbl val="0"/>
      </c:catAx>
      <c:valAx>
        <c:axId val="5680763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solidFill>
                      <a:sysClr val="windowText" lastClr="000000"/>
                    </a:solidFill>
                  </a:rPr>
                  <a:t>Nutrient uptake kg/ha</a:t>
                </a:r>
              </a:p>
            </c:rich>
          </c:tx>
          <c:layout>
            <c:manualLayout>
              <c:xMode val="edge"/>
              <c:yMode val="edge"/>
              <c:x val="0"/>
              <c:y val="4.629629629629629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8076056"/>
        <c:crosses val="autoZero"/>
        <c:crossBetween val="between"/>
      </c:valAx>
      <c:spPr>
        <a:noFill/>
        <a:ln>
          <a:noFill/>
        </a:ln>
        <a:effectLst/>
      </c:spPr>
    </c:plotArea>
    <c:legend>
      <c:legendPos val="b"/>
      <c:layout>
        <c:manualLayout>
          <c:xMode val="edge"/>
          <c:yMode val="edge"/>
          <c:x val="0.17042475940507437"/>
          <c:y val="1.909667541557301E-2"/>
          <c:w val="0.69248381452318464"/>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'for figure'!$G$3</c:f>
              <c:strCache>
                <c:ptCount val="1"/>
                <c:pt idx="0">
                  <c:v>Biomass nitrogen</c:v>
                </c:pt>
              </c:strCache>
            </c:strRef>
          </c:tx>
          <c:spPr>
            <a:solidFill>
              <a:schemeClr val="accent1"/>
            </a:solidFill>
            <a:ln>
              <a:noFill/>
            </a:ln>
            <a:effectLst/>
          </c:spPr>
          <c:invertIfNegative val="0"/>
          <c:dLbls>
            <c:dLbl>
              <c:idx val="0"/>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CD6-4568-BB22-6BA3443B03EE}"/>
                </c:ext>
              </c:extLst>
            </c:dLbl>
            <c:dLbl>
              <c:idx val="1"/>
              <c:tx>
                <c:rich>
                  <a:bodyPr/>
                  <a:lstStyle/>
                  <a:p>
                    <a:r>
                      <a:rPr lang="en-US" sz="1000" b="1">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CD6-4568-BB22-6BA3443B03EE}"/>
                </c:ext>
              </c:extLst>
            </c:dLbl>
            <c:dLbl>
              <c:idx val="2"/>
              <c:tx>
                <c:rich>
                  <a:bodyPr/>
                  <a:lstStyle/>
                  <a:p>
                    <a:r>
                      <a:rPr lang="en-US" sz="1000" b="1">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CD6-4568-BB22-6BA3443B03EE}"/>
                </c:ext>
              </c:extLst>
            </c:dLbl>
            <c:dLbl>
              <c:idx val="3"/>
              <c:tx>
                <c:rich>
                  <a:bodyPr/>
                  <a:lstStyle/>
                  <a:p>
                    <a:r>
                      <a:rPr lang="en-US" sz="1000" b="1">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CD6-4568-BB22-6BA3443B03EE}"/>
                </c:ext>
              </c:extLst>
            </c:dLbl>
            <c:dLbl>
              <c:idx val="4"/>
              <c:tx>
                <c:rich>
                  <a:bodyPr/>
                  <a:lstStyle/>
                  <a:p>
                    <a:r>
                      <a:rPr lang="en-US" sz="1000" b="1">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CD6-4568-BB22-6BA3443B03EE}"/>
                </c:ext>
              </c:extLst>
            </c:dLbl>
            <c:dLbl>
              <c:idx val="5"/>
              <c:tx>
                <c:rich>
                  <a:bodyPr/>
                  <a:lstStyle/>
                  <a:p>
                    <a:r>
                      <a:rPr lang="en-US" sz="1000" b="1">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CD6-4568-BB22-6BA3443B03EE}"/>
                </c:ext>
              </c:extLst>
            </c:dLbl>
            <c:dLbl>
              <c:idx val="6"/>
              <c:tx>
                <c:rich>
                  <a:bodyPr/>
                  <a:lstStyle/>
                  <a:p>
                    <a:r>
                      <a:rPr lang="en-US" sz="1000">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CD6-4568-BB22-6BA3443B03E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'for figure'!$F$4:$F$10</c:f>
              <c:strCache>
                <c:ptCount val="7"/>
                <c:pt idx="0">
                  <c:v>0 - 0 - 0</c:v>
                </c:pt>
                <c:pt idx="1">
                  <c:v>10 – 15 – 10</c:v>
                </c:pt>
                <c:pt idx="2">
                  <c:v>20 – 15 – 20</c:v>
                </c:pt>
                <c:pt idx="3">
                  <c:v>20 – 30 – 10</c:v>
                </c:pt>
                <c:pt idx="4">
                  <c:v>20 – 30 – 20</c:v>
                </c:pt>
                <c:pt idx="5">
                  <c:v>20 – 45 – 20</c:v>
                </c:pt>
                <c:pt idx="6">
                  <c:v>30 – 45 - 30</c:v>
                </c:pt>
              </c:strCache>
            </c:strRef>
          </c:cat>
          <c:val>
            <c:numRef>
              <c:f>'for figure'!$G$4:$G$10</c:f>
              <c:numCache>
                <c:formatCode>0.00</c:formatCode>
                <c:ptCount val="7"/>
                <c:pt idx="0">
                  <c:v>3.82</c:v>
                </c:pt>
                <c:pt idx="1">
                  <c:v>4.1399999999999997</c:v>
                </c:pt>
                <c:pt idx="2">
                  <c:v>4.87</c:v>
                </c:pt>
                <c:pt idx="3">
                  <c:v>5.76</c:v>
                </c:pt>
                <c:pt idx="4">
                  <c:v>5.85</c:v>
                </c:pt>
                <c:pt idx="5">
                  <c:v>6.2</c:v>
                </c:pt>
                <c:pt idx="6">
                  <c:v>7.28</c:v>
                </c:pt>
              </c:numCache>
            </c:numRef>
          </c:val>
          <c:extLst>
            <c:ext xmlns:c16="http://schemas.microsoft.com/office/drawing/2014/chart" uri="{C3380CC4-5D6E-409C-BE32-E72D297353CC}">
              <c16:uniqueId val="{00000007-DCD6-4568-BB22-6BA3443B03EE}"/>
            </c:ext>
          </c:extLst>
        </c:ser>
        <c:ser>
          <c:idx val="1"/>
          <c:order val="1"/>
          <c:tx>
            <c:strRef>
              <c:f>'for figure'!$H$3</c:f>
              <c:strCache>
                <c:ptCount val="1"/>
                <c:pt idx="0">
                  <c:v>Biomass phosphorus</c:v>
                </c:pt>
              </c:strCache>
            </c:strRef>
          </c:tx>
          <c:spPr>
            <a:solidFill>
              <a:schemeClr val="accent2"/>
            </a:solidFill>
            <a:ln>
              <a:noFill/>
            </a:ln>
            <a:effectLst/>
          </c:spPr>
          <c:invertIfNegative val="0"/>
          <c:dLbls>
            <c:dLbl>
              <c:idx val="0"/>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CD6-4568-BB22-6BA3443B03EE}"/>
                </c:ext>
              </c:extLst>
            </c:dLbl>
            <c:dLbl>
              <c:idx val="1"/>
              <c:layout>
                <c:manualLayout>
                  <c:x val="0"/>
                  <c:y val="0"/>
                </c:manualLayout>
              </c:layout>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DCD6-4568-BB22-6BA3443B03EE}"/>
                </c:ext>
              </c:extLst>
            </c:dLbl>
            <c:dLbl>
              <c:idx val="2"/>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DCD6-4568-BB22-6BA3443B03EE}"/>
                </c:ext>
              </c:extLst>
            </c:dLbl>
            <c:dLbl>
              <c:idx val="3"/>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DCD6-4568-BB22-6BA3443B03EE}"/>
                </c:ext>
              </c:extLst>
            </c:dLbl>
            <c:dLbl>
              <c:idx val="4"/>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DCD6-4568-BB22-6BA3443B03EE}"/>
                </c:ext>
              </c:extLst>
            </c:dLbl>
            <c:dLbl>
              <c:idx val="5"/>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DCD6-4568-BB22-6BA3443B03EE}"/>
                </c:ext>
              </c:extLst>
            </c:dLbl>
            <c:dLbl>
              <c:idx val="6"/>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DCD6-4568-BB22-6BA3443B03E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'for figure'!$F$4:$F$10</c:f>
              <c:strCache>
                <c:ptCount val="7"/>
                <c:pt idx="0">
                  <c:v>0 - 0 - 0</c:v>
                </c:pt>
                <c:pt idx="1">
                  <c:v>10 – 15 – 10</c:v>
                </c:pt>
                <c:pt idx="2">
                  <c:v>20 – 15 – 20</c:v>
                </c:pt>
                <c:pt idx="3">
                  <c:v>20 – 30 – 10</c:v>
                </c:pt>
                <c:pt idx="4">
                  <c:v>20 – 30 – 20</c:v>
                </c:pt>
                <c:pt idx="5">
                  <c:v>20 – 45 – 20</c:v>
                </c:pt>
                <c:pt idx="6">
                  <c:v>30 – 45 - 30</c:v>
                </c:pt>
              </c:strCache>
            </c:strRef>
          </c:cat>
          <c:val>
            <c:numRef>
              <c:f>'for figure'!$H$4:$H$10</c:f>
              <c:numCache>
                <c:formatCode>0.00</c:formatCode>
                <c:ptCount val="7"/>
                <c:pt idx="0">
                  <c:v>0.80900000000000005</c:v>
                </c:pt>
                <c:pt idx="1">
                  <c:v>0.877</c:v>
                </c:pt>
                <c:pt idx="2">
                  <c:v>0.94099999999999995</c:v>
                </c:pt>
                <c:pt idx="3">
                  <c:v>0.99</c:v>
                </c:pt>
                <c:pt idx="4">
                  <c:v>1.0660000000000001</c:v>
                </c:pt>
                <c:pt idx="5">
                  <c:v>1.054</c:v>
                </c:pt>
                <c:pt idx="6">
                  <c:v>1.1000000000000001</c:v>
                </c:pt>
              </c:numCache>
            </c:numRef>
          </c:val>
          <c:extLst>
            <c:ext xmlns:c16="http://schemas.microsoft.com/office/drawing/2014/chart" uri="{C3380CC4-5D6E-409C-BE32-E72D297353CC}">
              <c16:uniqueId val="{0000000F-DCD6-4568-BB22-6BA3443B03EE}"/>
            </c:ext>
          </c:extLst>
        </c:ser>
        <c:ser>
          <c:idx val="2"/>
          <c:order val="2"/>
          <c:tx>
            <c:strRef>
              <c:f>'for figure'!$I$3</c:f>
              <c:strCache>
                <c:ptCount val="1"/>
                <c:pt idx="0">
                  <c:v>Biomass potassium</c:v>
                </c:pt>
              </c:strCache>
            </c:strRef>
          </c:tx>
          <c:spPr>
            <a:solidFill>
              <a:schemeClr val="accent3"/>
            </a:solidFill>
            <a:ln>
              <a:noFill/>
            </a:ln>
            <a:effectLst/>
          </c:spPr>
          <c:invertIfNegative val="0"/>
          <c:dLbls>
            <c:dLbl>
              <c:idx val="0"/>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DCD6-4568-BB22-6BA3443B03EE}"/>
                </c:ext>
              </c:extLst>
            </c:dLbl>
            <c:dLbl>
              <c:idx val="1"/>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DCD6-4568-BB22-6BA3443B03EE}"/>
                </c:ext>
              </c:extLst>
            </c:dLbl>
            <c:dLbl>
              <c:idx val="2"/>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DCD6-4568-BB22-6BA3443B03EE}"/>
                </c:ext>
              </c:extLst>
            </c:dLbl>
            <c:dLbl>
              <c:idx val="3"/>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DCD6-4568-BB22-6BA3443B03EE}"/>
                </c:ext>
              </c:extLst>
            </c:dLbl>
            <c:dLbl>
              <c:idx val="4"/>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DCD6-4568-BB22-6BA3443B03EE}"/>
                </c:ext>
              </c:extLst>
            </c:dLbl>
            <c:dLbl>
              <c:idx val="5"/>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DCD6-4568-BB22-6BA3443B03EE}"/>
                </c:ext>
              </c:extLst>
            </c:dLbl>
            <c:dLbl>
              <c:idx val="6"/>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DCD6-4568-BB22-6BA3443B03E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'for figure'!$F$4:$F$10</c:f>
              <c:strCache>
                <c:ptCount val="7"/>
                <c:pt idx="0">
                  <c:v>0 - 0 - 0</c:v>
                </c:pt>
                <c:pt idx="1">
                  <c:v>10 – 15 – 10</c:v>
                </c:pt>
                <c:pt idx="2">
                  <c:v>20 – 15 – 20</c:v>
                </c:pt>
                <c:pt idx="3">
                  <c:v>20 – 30 – 10</c:v>
                </c:pt>
                <c:pt idx="4">
                  <c:v>20 – 30 – 20</c:v>
                </c:pt>
                <c:pt idx="5">
                  <c:v>20 – 45 – 20</c:v>
                </c:pt>
                <c:pt idx="6">
                  <c:v>30 – 45 - 30</c:v>
                </c:pt>
              </c:strCache>
            </c:strRef>
          </c:cat>
          <c:val>
            <c:numRef>
              <c:f>'for figure'!$I$4:$I$10</c:f>
              <c:numCache>
                <c:formatCode>0.00</c:formatCode>
                <c:ptCount val="7"/>
                <c:pt idx="0">
                  <c:v>1.93</c:v>
                </c:pt>
                <c:pt idx="1">
                  <c:v>2.4700000000000002</c:v>
                </c:pt>
                <c:pt idx="2">
                  <c:v>2.68</c:v>
                </c:pt>
                <c:pt idx="3">
                  <c:v>2.82</c:v>
                </c:pt>
                <c:pt idx="4">
                  <c:v>3.31</c:v>
                </c:pt>
                <c:pt idx="5">
                  <c:v>3.89</c:v>
                </c:pt>
                <c:pt idx="6">
                  <c:v>3.93</c:v>
                </c:pt>
              </c:numCache>
            </c:numRef>
          </c:val>
          <c:extLst>
            <c:ext xmlns:c16="http://schemas.microsoft.com/office/drawing/2014/chart" uri="{C3380CC4-5D6E-409C-BE32-E72D297353CC}">
              <c16:uniqueId val="{00000017-DCD6-4568-BB22-6BA3443B03EE}"/>
            </c:ext>
          </c:extLst>
        </c:ser>
        <c:dLbls>
          <c:dLblPos val="outEnd"/>
          <c:showLegendKey val="0"/>
          <c:showVal val="1"/>
          <c:showCatName val="0"/>
          <c:showSerName val="0"/>
          <c:showPercent val="0"/>
          <c:showBubbleSize val="0"/>
        </c:dLbls>
        <c:gapWidth val="219"/>
        <c:overlap val="-27"/>
        <c:axId val="462231936"/>
        <c:axId val="460857320"/>
      </c:barChart>
      <c:catAx>
        <c:axId val="462231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a:solidFill>
                      <a:sysClr val="windowText" lastClr="000000"/>
                    </a:solidFill>
                    <a:latin typeface="Times New Roman" panose="02020603050405020304" pitchFamily="18" charset="0"/>
                    <a:cs typeface="Times New Roman" panose="02020603050405020304" pitchFamily="18" charset="0"/>
                  </a:rPr>
                  <a:t> </a:t>
                </a:r>
                <a:r>
                  <a:rPr lang="en-US" sz="1000" b="1" i="0" baseline="0">
                    <a:solidFill>
                      <a:sysClr val="windowText" lastClr="000000"/>
                    </a:solidFill>
                    <a:effectLst/>
                    <a:latin typeface="Times New Roman" panose="02020603050405020304" pitchFamily="18" charset="0"/>
                    <a:cs typeface="Times New Roman" panose="02020603050405020304" pitchFamily="18" charset="0"/>
                  </a:rPr>
                  <a:t>Treatments (N-P</a:t>
                </a:r>
                <a:r>
                  <a:rPr lang="en-US" sz="1000" b="1" i="0" baseline="-25000">
                    <a:solidFill>
                      <a:sysClr val="windowText" lastClr="000000"/>
                    </a:solidFill>
                    <a:effectLst/>
                    <a:latin typeface="Times New Roman" panose="02020603050405020304" pitchFamily="18" charset="0"/>
                    <a:cs typeface="Times New Roman" panose="02020603050405020304" pitchFamily="18" charset="0"/>
                  </a:rPr>
                  <a:t>2</a:t>
                </a:r>
                <a:r>
                  <a:rPr lang="en-US" sz="1000" b="1" i="0" baseline="0">
                    <a:solidFill>
                      <a:sysClr val="windowText" lastClr="000000"/>
                    </a:solidFill>
                    <a:effectLst/>
                    <a:latin typeface="Times New Roman" panose="02020603050405020304" pitchFamily="18" charset="0"/>
                    <a:cs typeface="Times New Roman" panose="02020603050405020304" pitchFamily="18" charset="0"/>
                  </a:rPr>
                  <a:t>O</a:t>
                </a:r>
                <a:r>
                  <a:rPr lang="en-US" sz="1000" b="1" i="0" baseline="-25000">
                    <a:solidFill>
                      <a:sysClr val="windowText" lastClr="000000"/>
                    </a:solidFill>
                    <a:effectLst/>
                    <a:latin typeface="Times New Roman" panose="02020603050405020304" pitchFamily="18" charset="0"/>
                    <a:cs typeface="Times New Roman" panose="02020603050405020304" pitchFamily="18" charset="0"/>
                  </a:rPr>
                  <a:t>5</a:t>
                </a:r>
                <a:r>
                  <a:rPr lang="en-US" sz="1000" b="1" i="0" baseline="0">
                    <a:solidFill>
                      <a:sysClr val="windowText" lastClr="000000"/>
                    </a:solidFill>
                    <a:effectLst/>
                    <a:latin typeface="Times New Roman" panose="02020603050405020304" pitchFamily="18" charset="0"/>
                    <a:cs typeface="Times New Roman" panose="02020603050405020304" pitchFamily="18" charset="0"/>
                  </a:rPr>
                  <a:t>-K</a:t>
                </a:r>
                <a:r>
                  <a:rPr lang="en-US" sz="1000" b="1" i="0" baseline="-25000">
                    <a:solidFill>
                      <a:sysClr val="windowText" lastClr="000000"/>
                    </a:solidFill>
                    <a:effectLst/>
                    <a:latin typeface="Times New Roman" panose="02020603050405020304" pitchFamily="18" charset="0"/>
                    <a:cs typeface="Times New Roman" panose="02020603050405020304" pitchFamily="18" charset="0"/>
                  </a:rPr>
                  <a:t>2</a:t>
                </a:r>
                <a:r>
                  <a:rPr lang="en-US" sz="1000" b="1" i="0" baseline="0">
                    <a:solidFill>
                      <a:sysClr val="windowText" lastClr="000000"/>
                    </a:solidFill>
                    <a:effectLst/>
                    <a:latin typeface="Times New Roman" panose="02020603050405020304" pitchFamily="18" charset="0"/>
                    <a:cs typeface="Times New Roman" panose="02020603050405020304" pitchFamily="18" charset="0"/>
                  </a:rPr>
                  <a:t>O, kg/ha)   </a:t>
                </a:r>
                <a:endParaRPr lang="en-GB" sz="10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29162489063867014"/>
              <c:y val="0.878846237970253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0857320"/>
        <c:crosses val="autoZero"/>
        <c:auto val="1"/>
        <c:lblAlgn val="ctr"/>
        <c:lblOffset val="100"/>
        <c:noMultiLvlLbl val="0"/>
      </c:catAx>
      <c:valAx>
        <c:axId val="4608573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0" baseline="0">
                    <a:solidFill>
                      <a:sysClr val="windowText" lastClr="000000"/>
                    </a:solidFill>
                    <a:effectLst/>
                    <a:latin typeface="Times New Roman" panose="02020603050405020304" pitchFamily="18" charset="0"/>
                    <a:cs typeface="Times New Roman" panose="02020603050405020304" pitchFamily="18" charset="0"/>
                  </a:rPr>
                  <a:t>Nutrient uptake kg/ha</a:t>
                </a:r>
                <a:endParaRPr lang="en-GB" sz="10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1.9444444444444445E-2"/>
              <c:y val="0.1018518518518518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2231936"/>
        <c:crosses val="autoZero"/>
        <c:crossBetween val="between"/>
      </c:valAx>
      <c:spPr>
        <a:noFill/>
        <a:ln>
          <a:noFill/>
        </a:ln>
        <a:effectLst/>
      </c:spPr>
    </c:plotArea>
    <c:legend>
      <c:legendPos val="b"/>
      <c:layout>
        <c:manualLayout>
          <c:xMode val="edge"/>
          <c:yMode val="edge"/>
          <c:x val="0.10215769903762029"/>
          <c:y val="1.4467045785943381E-2"/>
          <c:w val="0.79568460192475943"/>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'for figure'!$R$3</c:f>
              <c:strCache>
                <c:ptCount val="1"/>
                <c:pt idx="0">
                  <c:v>Grain nitrogen </c:v>
                </c:pt>
              </c:strCache>
            </c:strRef>
          </c:tx>
          <c:spPr>
            <a:solidFill>
              <a:schemeClr val="accent1"/>
            </a:solidFill>
            <a:ln>
              <a:noFill/>
            </a:ln>
            <a:effectLst/>
          </c:spPr>
          <c:invertIfNegative val="0"/>
          <c:dLbls>
            <c:dLbl>
              <c:idx val="0"/>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675-49B6-8648-0970BCEF0FEA}"/>
                </c:ext>
              </c:extLst>
            </c:dLbl>
            <c:dLbl>
              <c:idx val="1"/>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675-49B6-8648-0970BCEF0FEA}"/>
                </c:ext>
              </c:extLst>
            </c:dLbl>
            <c:dLbl>
              <c:idx val="2"/>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675-49B6-8648-0970BCEF0FEA}"/>
                </c:ext>
              </c:extLst>
            </c:dLbl>
            <c:dLbl>
              <c:idx val="3"/>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675-49B6-8648-0970BCEF0FEA}"/>
                </c:ext>
              </c:extLst>
            </c:dLbl>
            <c:dLbl>
              <c:idx val="4"/>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675-49B6-8648-0970BCEF0FEA}"/>
                </c:ext>
              </c:extLst>
            </c:dLbl>
            <c:dLbl>
              <c:idx val="5"/>
              <c:tx>
                <c:rich>
                  <a:bodyPr/>
                  <a:lstStyle/>
                  <a:p>
                    <a:r>
                      <a:rPr lang="en-US" sz="1000" b="1">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675-49B6-8648-0970BCEF0FEA}"/>
                </c:ext>
              </c:extLst>
            </c:dLbl>
            <c:dLbl>
              <c:idx val="6"/>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675-49B6-8648-0970BCEF0F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'for figure'!$Q$4:$Q$10</c:f>
              <c:strCache>
                <c:ptCount val="7"/>
                <c:pt idx="0">
                  <c:v>0 - 0 - 0</c:v>
                </c:pt>
                <c:pt idx="1">
                  <c:v>10 – 15 – 10</c:v>
                </c:pt>
                <c:pt idx="2">
                  <c:v>20 – 15 – 20</c:v>
                </c:pt>
                <c:pt idx="3">
                  <c:v>20 – 30 – 10</c:v>
                </c:pt>
                <c:pt idx="4">
                  <c:v>20 – 30 – 20</c:v>
                </c:pt>
                <c:pt idx="5">
                  <c:v>20 – 45 – 20</c:v>
                </c:pt>
                <c:pt idx="6">
                  <c:v>30 – 45 - 30</c:v>
                </c:pt>
              </c:strCache>
            </c:strRef>
          </c:cat>
          <c:val>
            <c:numRef>
              <c:f>'for figure'!$R$4:$R$10</c:f>
              <c:numCache>
                <c:formatCode>0.00</c:formatCode>
                <c:ptCount val="7"/>
                <c:pt idx="0">
                  <c:v>2.8149999999999999</c:v>
                </c:pt>
                <c:pt idx="1">
                  <c:v>4.415</c:v>
                </c:pt>
                <c:pt idx="2">
                  <c:v>4.7140000000000004</c:v>
                </c:pt>
                <c:pt idx="3">
                  <c:v>4.7809999999999997</c:v>
                </c:pt>
                <c:pt idx="4">
                  <c:v>5.008</c:v>
                </c:pt>
                <c:pt idx="5">
                  <c:v>4.774</c:v>
                </c:pt>
                <c:pt idx="6">
                  <c:v>6.3319999999999999</c:v>
                </c:pt>
              </c:numCache>
            </c:numRef>
          </c:val>
          <c:extLst>
            <c:ext xmlns:c16="http://schemas.microsoft.com/office/drawing/2014/chart" uri="{C3380CC4-5D6E-409C-BE32-E72D297353CC}">
              <c16:uniqueId val="{00000007-E675-49B6-8648-0970BCEF0FEA}"/>
            </c:ext>
          </c:extLst>
        </c:ser>
        <c:ser>
          <c:idx val="1"/>
          <c:order val="1"/>
          <c:tx>
            <c:strRef>
              <c:f>'for figure'!$S$3</c:f>
              <c:strCache>
                <c:ptCount val="1"/>
                <c:pt idx="0">
                  <c:v>Grain phosphorus</c:v>
                </c:pt>
              </c:strCache>
            </c:strRef>
          </c:tx>
          <c:spPr>
            <a:solidFill>
              <a:schemeClr val="accent2"/>
            </a:solidFill>
            <a:ln>
              <a:noFill/>
            </a:ln>
            <a:effectLst/>
          </c:spPr>
          <c:invertIfNegative val="0"/>
          <c:dLbls>
            <c:dLbl>
              <c:idx val="0"/>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675-49B6-8648-0970BCEF0FEA}"/>
                </c:ext>
              </c:extLst>
            </c:dLbl>
            <c:dLbl>
              <c:idx val="1"/>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E675-49B6-8648-0970BCEF0FEA}"/>
                </c:ext>
              </c:extLst>
            </c:dLbl>
            <c:dLbl>
              <c:idx val="2"/>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BC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E675-49B6-8648-0970BCEF0FEA}"/>
                </c:ext>
              </c:extLst>
            </c:dLbl>
            <c:dLbl>
              <c:idx val="3"/>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BC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E675-49B6-8648-0970BCEF0FEA}"/>
                </c:ext>
              </c:extLst>
            </c:dLbl>
            <c:dLbl>
              <c:idx val="4"/>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BC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E675-49B6-8648-0970BCEF0FEA}"/>
                </c:ext>
              </c:extLst>
            </c:dLbl>
            <c:dLbl>
              <c:idx val="5"/>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BC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E675-49B6-8648-0970BCEF0FEA}"/>
                </c:ext>
              </c:extLst>
            </c:dLbl>
            <c:dLbl>
              <c:idx val="6"/>
              <c:tx>
                <c:rich>
                  <a:bodyPr/>
                  <a:lstStyle/>
                  <a:p>
                    <a:r>
                      <a:rPr lang="en-US" sz="1000" b="1">
                        <a:latin typeface="Times New Roman" panose="02020603050405020304" pitchFamily="18" charset="0"/>
                        <a:cs typeface="Times New Roman" panose="02020603050405020304" pitchFamily="18" charset="0"/>
                      </a:rPr>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E675-49B6-8648-0970BCEF0F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'for figure'!$Q$4:$Q$10</c:f>
              <c:strCache>
                <c:ptCount val="7"/>
                <c:pt idx="0">
                  <c:v>0 - 0 - 0</c:v>
                </c:pt>
                <c:pt idx="1">
                  <c:v>10 – 15 – 10</c:v>
                </c:pt>
                <c:pt idx="2">
                  <c:v>20 – 15 – 20</c:v>
                </c:pt>
                <c:pt idx="3">
                  <c:v>20 – 30 – 10</c:v>
                </c:pt>
                <c:pt idx="4">
                  <c:v>20 – 30 – 20</c:v>
                </c:pt>
                <c:pt idx="5">
                  <c:v>20 – 45 – 20</c:v>
                </c:pt>
                <c:pt idx="6">
                  <c:v>30 – 45 - 30</c:v>
                </c:pt>
              </c:strCache>
            </c:strRef>
          </c:cat>
          <c:val>
            <c:numRef>
              <c:f>'for figure'!$S$4:$S$10</c:f>
              <c:numCache>
                <c:formatCode>0.00</c:formatCode>
                <c:ptCount val="7"/>
                <c:pt idx="0">
                  <c:v>0.21890000000000001</c:v>
                </c:pt>
                <c:pt idx="1">
                  <c:v>0.3236</c:v>
                </c:pt>
                <c:pt idx="2">
                  <c:v>0.51129999999999998</c:v>
                </c:pt>
                <c:pt idx="3">
                  <c:v>0.55969999999999998</c:v>
                </c:pt>
                <c:pt idx="4">
                  <c:v>0.58009999999999995</c:v>
                </c:pt>
                <c:pt idx="5">
                  <c:v>0.51800000000000002</c:v>
                </c:pt>
                <c:pt idx="6">
                  <c:v>0.59660000000000002</c:v>
                </c:pt>
              </c:numCache>
            </c:numRef>
          </c:val>
          <c:extLst>
            <c:ext xmlns:c16="http://schemas.microsoft.com/office/drawing/2014/chart" uri="{C3380CC4-5D6E-409C-BE32-E72D297353CC}">
              <c16:uniqueId val="{0000000F-E675-49B6-8648-0970BCEF0FEA}"/>
            </c:ext>
          </c:extLst>
        </c:ser>
        <c:ser>
          <c:idx val="2"/>
          <c:order val="2"/>
          <c:tx>
            <c:strRef>
              <c:f>'for figure'!$T$3</c:f>
              <c:strCache>
                <c:ptCount val="1"/>
                <c:pt idx="0">
                  <c:v>Grain potassium</c:v>
                </c:pt>
              </c:strCache>
            </c:strRef>
          </c:tx>
          <c:spPr>
            <a:solidFill>
              <a:schemeClr val="accent3"/>
            </a:solidFill>
            <a:ln>
              <a:noFill/>
            </a:ln>
            <a:effectLst/>
          </c:spPr>
          <c:invertIfNegative val="0"/>
          <c:dLbls>
            <c:dLbl>
              <c:idx val="0"/>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E675-49B6-8648-0970BCEF0FEA}"/>
                </c:ext>
              </c:extLst>
            </c:dLbl>
            <c:dLbl>
              <c:idx val="1"/>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E675-49B6-8648-0970BCEF0FEA}"/>
                </c:ext>
              </c:extLst>
            </c:dLbl>
            <c:dLbl>
              <c:idx val="2"/>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E675-49B6-8648-0970BCEF0FEA}"/>
                </c:ext>
              </c:extLst>
            </c:dLbl>
            <c:dLbl>
              <c:idx val="3"/>
              <c:tx>
                <c:rich>
                  <a:bodyPr/>
                  <a:lstStyle/>
                  <a:p>
                    <a:r>
                      <a:rPr lang="en-US" sz="1000" b="1" i="1">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E675-49B6-8648-0970BCEF0FEA}"/>
                </c:ext>
              </c:extLst>
            </c:dLbl>
            <c:dLbl>
              <c:idx val="4"/>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E675-49B6-8648-0970BCEF0FEA}"/>
                </c:ext>
              </c:extLst>
            </c:dLbl>
            <c:dLbl>
              <c:idx val="5"/>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E675-49B6-8648-0970BCEF0FEA}"/>
                </c:ext>
              </c:extLst>
            </c:dLbl>
            <c:dLbl>
              <c:idx val="6"/>
              <c:tx>
                <c:rich>
                  <a:bodyPr/>
                  <a:lstStyle/>
                  <a:p>
                    <a:r>
                      <a:rPr lang="en-US" sz="1000" b="1" i="1">
                        <a:solidFill>
                          <a:sysClr val="windowText" lastClr="000000"/>
                        </a:solidFill>
                        <a:latin typeface="Times New Roman" panose="02020603050405020304" pitchFamily="18" charset="0"/>
                        <a:cs typeface="Times New Roman" panose="02020603050405020304" pitchFamily="18" charset="0"/>
                      </a:rPr>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E675-49B6-8648-0970BCEF0F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'for figure'!$Q$4:$Q$10</c:f>
              <c:strCache>
                <c:ptCount val="7"/>
                <c:pt idx="0">
                  <c:v>0 - 0 - 0</c:v>
                </c:pt>
                <c:pt idx="1">
                  <c:v>10 – 15 – 10</c:v>
                </c:pt>
                <c:pt idx="2">
                  <c:v>20 – 15 – 20</c:v>
                </c:pt>
                <c:pt idx="3">
                  <c:v>20 – 30 – 10</c:v>
                </c:pt>
                <c:pt idx="4">
                  <c:v>20 – 30 – 20</c:v>
                </c:pt>
                <c:pt idx="5">
                  <c:v>20 – 45 – 20</c:v>
                </c:pt>
                <c:pt idx="6">
                  <c:v>30 – 45 - 30</c:v>
                </c:pt>
              </c:strCache>
            </c:strRef>
          </c:cat>
          <c:val>
            <c:numRef>
              <c:f>'for figure'!$T$4:$T$10</c:f>
              <c:numCache>
                <c:formatCode>0.00</c:formatCode>
                <c:ptCount val="7"/>
                <c:pt idx="0">
                  <c:v>1.865</c:v>
                </c:pt>
                <c:pt idx="1">
                  <c:v>3.03</c:v>
                </c:pt>
                <c:pt idx="2">
                  <c:v>3.1880000000000002</c:v>
                </c:pt>
                <c:pt idx="3">
                  <c:v>3.3039999999999998</c:v>
                </c:pt>
                <c:pt idx="4">
                  <c:v>3.4870000000000001</c:v>
                </c:pt>
                <c:pt idx="5">
                  <c:v>3.2210000000000001</c:v>
                </c:pt>
                <c:pt idx="6">
                  <c:v>4.2210000000000001</c:v>
                </c:pt>
              </c:numCache>
            </c:numRef>
          </c:val>
          <c:extLst>
            <c:ext xmlns:c16="http://schemas.microsoft.com/office/drawing/2014/chart" uri="{C3380CC4-5D6E-409C-BE32-E72D297353CC}">
              <c16:uniqueId val="{00000017-E675-49B6-8648-0970BCEF0FEA}"/>
            </c:ext>
          </c:extLst>
        </c:ser>
        <c:dLbls>
          <c:dLblPos val="outEnd"/>
          <c:showLegendKey val="0"/>
          <c:showVal val="1"/>
          <c:showCatName val="0"/>
          <c:showSerName val="0"/>
          <c:showPercent val="0"/>
          <c:showBubbleSize val="0"/>
        </c:dLbls>
        <c:gapWidth val="219"/>
        <c:overlap val="-27"/>
        <c:axId val="582342000"/>
        <c:axId val="582342328"/>
      </c:barChart>
      <c:catAx>
        <c:axId val="582342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baseline="0">
                    <a:solidFill>
                      <a:sysClr val="windowText" lastClr="000000"/>
                    </a:solidFill>
                    <a:effectLst/>
                    <a:latin typeface="Times New Roman" panose="02020603050405020304" pitchFamily="18" charset="0"/>
                    <a:cs typeface="Times New Roman" panose="02020603050405020304" pitchFamily="18" charset="0"/>
                  </a:rPr>
                  <a:t> </a:t>
                </a:r>
                <a:r>
                  <a:rPr lang="en-US" sz="1000" b="1" i="0" baseline="0">
                    <a:solidFill>
                      <a:sysClr val="windowText" lastClr="000000"/>
                    </a:solidFill>
                    <a:effectLst/>
                    <a:latin typeface="Times New Roman" panose="02020603050405020304" pitchFamily="18" charset="0"/>
                    <a:cs typeface="Times New Roman" panose="02020603050405020304" pitchFamily="18" charset="0"/>
                  </a:rPr>
                  <a:t>Treatments (N-P</a:t>
                </a:r>
                <a:r>
                  <a:rPr lang="en-US" sz="1000" b="1" i="0" baseline="-25000">
                    <a:solidFill>
                      <a:sysClr val="windowText" lastClr="000000"/>
                    </a:solidFill>
                    <a:effectLst/>
                    <a:latin typeface="Times New Roman" panose="02020603050405020304" pitchFamily="18" charset="0"/>
                    <a:cs typeface="Times New Roman" panose="02020603050405020304" pitchFamily="18" charset="0"/>
                  </a:rPr>
                  <a:t>2</a:t>
                </a:r>
                <a:r>
                  <a:rPr lang="en-US" sz="1000" b="1" i="0" baseline="0">
                    <a:solidFill>
                      <a:sysClr val="windowText" lastClr="000000"/>
                    </a:solidFill>
                    <a:effectLst/>
                    <a:latin typeface="Times New Roman" panose="02020603050405020304" pitchFamily="18" charset="0"/>
                    <a:cs typeface="Times New Roman" panose="02020603050405020304" pitchFamily="18" charset="0"/>
                  </a:rPr>
                  <a:t>O</a:t>
                </a:r>
                <a:r>
                  <a:rPr lang="en-US" sz="1000" b="1" i="0" baseline="-25000">
                    <a:solidFill>
                      <a:sysClr val="windowText" lastClr="000000"/>
                    </a:solidFill>
                    <a:effectLst/>
                    <a:latin typeface="Times New Roman" panose="02020603050405020304" pitchFamily="18" charset="0"/>
                    <a:cs typeface="Times New Roman" panose="02020603050405020304" pitchFamily="18" charset="0"/>
                  </a:rPr>
                  <a:t>5</a:t>
                </a:r>
                <a:r>
                  <a:rPr lang="en-US" sz="1000" b="1" i="0" baseline="0">
                    <a:solidFill>
                      <a:sysClr val="windowText" lastClr="000000"/>
                    </a:solidFill>
                    <a:effectLst/>
                    <a:latin typeface="Times New Roman" panose="02020603050405020304" pitchFamily="18" charset="0"/>
                    <a:cs typeface="Times New Roman" panose="02020603050405020304" pitchFamily="18" charset="0"/>
                  </a:rPr>
                  <a:t>-K</a:t>
                </a:r>
                <a:r>
                  <a:rPr lang="en-US" sz="1000" b="1" i="0" baseline="-25000">
                    <a:solidFill>
                      <a:sysClr val="windowText" lastClr="000000"/>
                    </a:solidFill>
                    <a:effectLst/>
                    <a:latin typeface="Times New Roman" panose="02020603050405020304" pitchFamily="18" charset="0"/>
                    <a:cs typeface="Times New Roman" panose="02020603050405020304" pitchFamily="18" charset="0"/>
                  </a:rPr>
                  <a:t>2</a:t>
                </a:r>
                <a:r>
                  <a:rPr lang="en-US" sz="1000" b="1" i="0" baseline="0">
                    <a:solidFill>
                      <a:sysClr val="windowText" lastClr="000000"/>
                    </a:solidFill>
                    <a:effectLst/>
                    <a:latin typeface="Times New Roman" panose="02020603050405020304" pitchFamily="18" charset="0"/>
                    <a:cs typeface="Times New Roman" panose="02020603050405020304" pitchFamily="18" charset="0"/>
                  </a:rPr>
                  <a:t>O, kg/ha)   </a:t>
                </a:r>
                <a:endParaRPr lang="en-GB" sz="10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32137160979877516"/>
              <c:y val="0.9006288276465441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82342328"/>
        <c:crosses val="autoZero"/>
        <c:auto val="1"/>
        <c:lblAlgn val="ctr"/>
        <c:lblOffset val="100"/>
        <c:noMultiLvlLbl val="0"/>
      </c:catAx>
      <c:valAx>
        <c:axId val="5823423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0" baseline="0">
                    <a:solidFill>
                      <a:sysClr val="windowText" lastClr="000000"/>
                    </a:solidFill>
                    <a:effectLst/>
                    <a:latin typeface="Times New Roman" panose="02020603050405020304" pitchFamily="18" charset="0"/>
                    <a:cs typeface="Times New Roman" panose="02020603050405020304" pitchFamily="18" charset="0"/>
                  </a:rPr>
                  <a:t>Nutrient uptake kg/ha</a:t>
                </a:r>
                <a:endParaRPr lang="en-GB" sz="10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
              <c:y val="6.481481481481481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82342000"/>
        <c:crosses val="autoZero"/>
        <c:crossBetween val="between"/>
      </c:valAx>
      <c:spPr>
        <a:noFill/>
        <a:ln>
          <a:noFill/>
        </a:ln>
        <a:effectLst/>
      </c:spPr>
    </c:plotArea>
    <c:legend>
      <c:legendPos val="b"/>
      <c:layout>
        <c:manualLayout>
          <c:xMode val="edge"/>
          <c:yMode val="edge"/>
          <c:x val="0.1318996062992126"/>
          <c:y val="2.372630504520264E-2"/>
          <c:w val="0.70286745406824147"/>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79855643044618"/>
          <c:y val="0.10185185185185185"/>
          <c:w val="0.82220144356955382"/>
          <c:h val="0.45877697579469234"/>
        </c:manualLayout>
      </c:layout>
      <c:barChart>
        <c:barDir val="col"/>
        <c:grouping val="clustered"/>
        <c:varyColors val="0"/>
        <c:ser>
          <c:idx val="0"/>
          <c:order val="0"/>
          <c:tx>
            <c:strRef>
              <c:f>'for figure'!$Z$3</c:f>
              <c:strCache>
                <c:ptCount val="1"/>
                <c:pt idx="0">
                  <c:v>Biomass nitrogen </c:v>
                </c:pt>
              </c:strCache>
            </c:strRef>
          </c:tx>
          <c:spPr>
            <a:solidFill>
              <a:schemeClr val="accent1"/>
            </a:solidFill>
            <a:ln>
              <a:noFill/>
            </a:ln>
            <a:effectLst/>
          </c:spPr>
          <c:invertIfNegative val="0"/>
          <c:dLbls>
            <c:dLbl>
              <c:idx val="0"/>
              <c:tx>
                <c:rich>
                  <a:bodyPr/>
                  <a:lstStyle/>
                  <a:p>
                    <a:r>
                      <a:rPr lang="en-US" b="1">
                        <a:solidFill>
                          <a:sysClr val="windowText" lastClr="000000"/>
                        </a:solidFill>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76B-4D1E-A3CB-A664C4EECFD8}"/>
                </c:ext>
              </c:extLst>
            </c:dLbl>
            <c:dLbl>
              <c:idx val="1"/>
              <c:tx>
                <c:rich>
                  <a:bodyPr/>
                  <a:lstStyle/>
                  <a:p>
                    <a:r>
                      <a:rPr lang="en-US" b="1">
                        <a:solidFill>
                          <a:sysClr val="windowText" lastClr="000000"/>
                        </a:solidFill>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76B-4D1E-A3CB-A664C4EECFD8}"/>
                </c:ext>
              </c:extLst>
            </c:dLbl>
            <c:dLbl>
              <c:idx val="2"/>
              <c:tx>
                <c:rich>
                  <a:bodyPr/>
                  <a:lstStyle/>
                  <a:p>
                    <a:r>
                      <a:rPr lang="en-US" b="1">
                        <a:solidFill>
                          <a:sysClr val="windowText" lastClr="000000"/>
                        </a:solidFill>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76B-4D1E-A3CB-A664C4EECFD8}"/>
                </c:ext>
              </c:extLst>
            </c:dLbl>
            <c:dLbl>
              <c:idx val="3"/>
              <c:tx>
                <c:rich>
                  <a:bodyPr/>
                  <a:lstStyle/>
                  <a:p>
                    <a:r>
                      <a:rPr lang="en-US" b="1">
                        <a:solidFill>
                          <a:sysClr val="windowText" lastClr="000000"/>
                        </a:solidFill>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76B-4D1E-A3CB-A664C4EECFD8}"/>
                </c:ext>
              </c:extLst>
            </c:dLbl>
            <c:dLbl>
              <c:idx val="4"/>
              <c:tx>
                <c:rich>
                  <a:bodyPr/>
                  <a:lstStyle/>
                  <a:p>
                    <a:r>
                      <a:rPr lang="en-US" b="1">
                        <a:solidFill>
                          <a:sysClr val="windowText" lastClr="000000"/>
                        </a:solidFill>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76B-4D1E-A3CB-A664C4EECFD8}"/>
                </c:ext>
              </c:extLst>
            </c:dLbl>
            <c:dLbl>
              <c:idx val="5"/>
              <c:tx>
                <c:rich>
                  <a:bodyPr/>
                  <a:lstStyle/>
                  <a:p>
                    <a:r>
                      <a:rPr lang="en-US" b="1">
                        <a:solidFill>
                          <a:sysClr val="windowText" lastClr="000000"/>
                        </a:solidFill>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76B-4D1E-A3CB-A664C4EECFD8}"/>
                </c:ext>
              </c:extLst>
            </c:dLbl>
            <c:dLbl>
              <c:idx val="6"/>
              <c:tx>
                <c:rich>
                  <a:bodyPr/>
                  <a:lstStyle/>
                  <a:p>
                    <a:r>
                      <a:rPr lang="en-US" b="1">
                        <a:solidFill>
                          <a:sysClr val="windowText" lastClr="000000"/>
                        </a:solidFill>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76B-4D1E-A3CB-A664C4EECFD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'for figure'!$Y$4:$Y$10</c:f>
              <c:strCache>
                <c:ptCount val="7"/>
                <c:pt idx="0">
                  <c:v>0 - 0 - 0</c:v>
                </c:pt>
                <c:pt idx="1">
                  <c:v>10 – 15 – 10</c:v>
                </c:pt>
                <c:pt idx="2">
                  <c:v>20 – 15 – 20</c:v>
                </c:pt>
                <c:pt idx="3">
                  <c:v>20 – 30 – 10</c:v>
                </c:pt>
                <c:pt idx="4">
                  <c:v>20 – 30 – 20</c:v>
                </c:pt>
                <c:pt idx="5">
                  <c:v>20 – 45 – 20</c:v>
                </c:pt>
                <c:pt idx="6">
                  <c:v>30 – 45 - 30</c:v>
                </c:pt>
              </c:strCache>
            </c:strRef>
          </c:cat>
          <c:val>
            <c:numRef>
              <c:f>'for figure'!$Z$4:$Z$10</c:f>
              <c:numCache>
                <c:formatCode>0.00</c:formatCode>
                <c:ptCount val="7"/>
                <c:pt idx="0">
                  <c:v>3.31</c:v>
                </c:pt>
                <c:pt idx="1">
                  <c:v>4.4800000000000004</c:v>
                </c:pt>
                <c:pt idx="2">
                  <c:v>5.65</c:v>
                </c:pt>
                <c:pt idx="3">
                  <c:v>5.71</c:v>
                </c:pt>
                <c:pt idx="4">
                  <c:v>5.79</c:v>
                </c:pt>
                <c:pt idx="5">
                  <c:v>6.52</c:v>
                </c:pt>
                <c:pt idx="6">
                  <c:v>6.71</c:v>
                </c:pt>
              </c:numCache>
            </c:numRef>
          </c:val>
          <c:extLst>
            <c:ext xmlns:c16="http://schemas.microsoft.com/office/drawing/2014/chart" uri="{C3380CC4-5D6E-409C-BE32-E72D297353CC}">
              <c16:uniqueId val="{00000007-376B-4D1E-A3CB-A664C4EECFD8}"/>
            </c:ext>
          </c:extLst>
        </c:ser>
        <c:ser>
          <c:idx val="1"/>
          <c:order val="1"/>
          <c:tx>
            <c:strRef>
              <c:f>'for figure'!$AA$3</c:f>
              <c:strCache>
                <c:ptCount val="1"/>
                <c:pt idx="0">
                  <c:v>Biomass phosphorus</c:v>
                </c:pt>
              </c:strCache>
            </c:strRef>
          </c:tx>
          <c:spPr>
            <a:solidFill>
              <a:schemeClr val="accent2"/>
            </a:solidFill>
            <a:ln>
              <a:noFill/>
            </a:ln>
            <a:effectLst/>
          </c:spPr>
          <c:invertIfNegative val="0"/>
          <c:dLbls>
            <c:dLbl>
              <c:idx val="0"/>
              <c:tx>
                <c:rich>
                  <a:bodyPr/>
                  <a:lstStyle/>
                  <a:p>
                    <a:r>
                      <a:rPr lang="en-US" b="1">
                        <a:solidFill>
                          <a:sysClr val="windowText" lastClr="000000"/>
                        </a:solidFill>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76B-4D1E-A3CB-A664C4EECFD8}"/>
                </c:ext>
              </c:extLst>
            </c:dLbl>
            <c:dLbl>
              <c:idx val="1"/>
              <c:tx>
                <c:rich>
                  <a:bodyPr/>
                  <a:lstStyle/>
                  <a:p>
                    <a:r>
                      <a:rPr lang="en-US" b="1">
                        <a:solidFill>
                          <a:sysClr val="windowText" lastClr="000000"/>
                        </a:solidFill>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76B-4D1E-A3CB-A664C4EECFD8}"/>
                </c:ext>
              </c:extLst>
            </c:dLbl>
            <c:dLbl>
              <c:idx val="2"/>
              <c:tx>
                <c:rich>
                  <a:bodyPr/>
                  <a:lstStyle/>
                  <a:p>
                    <a:r>
                      <a:rPr lang="en-US" b="1">
                        <a:solidFill>
                          <a:sysClr val="windowText" lastClr="000000"/>
                        </a:solidFill>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76B-4D1E-A3CB-A664C4EECFD8}"/>
                </c:ext>
              </c:extLst>
            </c:dLbl>
            <c:dLbl>
              <c:idx val="3"/>
              <c:tx>
                <c:rich>
                  <a:bodyPr/>
                  <a:lstStyle/>
                  <a:p>
                    <a:r>
                      <a:rPr lang="en-US" b="1">
                        <a:solidFill>
                          <a:sysClr val="windowText" lastClr="000000"/>
                        </a:solidFill>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376B-4D1E-A3CB-A664C4EECFD8}"/>
                </c:ext>
              </c:extLst>
            </c:dLbl>
            <c:dLbl>
              <c:idx val="4"/>
              <c:tx>
                <c:rich>
                  <a:bodyPr/>
                  <a:lstStyle/>
                  <a:p>
                    <a:r>
                      <a:rPr lang="en-US" b="1">
                        <a:solidFill>
                          <a:sysClr val="windowText" lastClr="000000"/>
                        </a:solidFill>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376B-4D1E-A3CB-A664C4EECFD8}"/>
                </c:ext>
              </c:extLst>
            </c:dLbl>
            <c:dLbl>
              <c:idx val="5"/>
              <c:tx>
                <c:rich>
                  <a:bodyPr/>
                  <a:lstStyle/>
                  <a:p>
                    <a:r>
                      <a:rPr lang="en-US" b="1"/>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376B-4D1E-A3CB-A664C4EECFD8}"/>
                </c:ext>
              </c:extLst>
            </c:dLbl>
            <c:dLbl>
              <c:idx val="6"/>
              <c:tx>
                <c:rich>
                  <a:bodyPr/>
                  <a:lstStyle/>
                  <a:p>
                    <a:r>
                      <a:rPr lang="en-US" b="1">
                        <a:solidFill>
                          <a:sysClr val="windowText" lastClr="000000"/>
                        </a:solidFill>
                      </a:rPr>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376B-4D1E-A3CB-A664C4EECFD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'for figure'!$Y$4:$Y$10</c:f>
              <c:strCache>
                <c:ptCount val="7"/>
                <c:pt idx="0">
                  <c:v>0 - 0 - 0</c:v>
                </c:pt>
                <c:pt idx="1">
                  <c:v>10 – 15 – 10</c:v>
                </c:pt>
                <c:pt idx="2">
                  <c:v>20 – 15 – 20</c:v>
                </c:pt>
                <c:pt idx="3">
                  <c:v>20 – 30 – 10</c:v>
                </c:pt>
                <c:pt idx="4">
                  <c:v>20 – 30 – 20</c:v>
                </c:pt>
                <c:pt idx="5">
                  <c:v>20 – 45 – 20</c:v>
                </c:pt>
                <c:pt idx="6">
                  <c:v>30 – 45 - 30</c:v>
                </c:pt>
              </c:strCache>
            </c:strRef>
          </c:cat>
          <c:val>
            <c:numRef>
              <c:f>'for figure'!$AA$4:$AA$10</c:f>
              <c:numCache>
                <c:formatCode>0.00</c:formatCode>
                <c:ptCount val="7"/>
                <c:pt idx="0">
                  <c:v>0.58299999999999996</c:v>
                </c:pt>
                <c:pt idx="1">
                  <c:v>0.72699999999999998</c:v>
                </c:pt>
                <c:pt idx="2">
                  <c:v>0.93799999999999994</c:v>
                </c:pt>
                <c:pt idx="3">
                  <c:v>0.81799999999999995</c:v>
                </c:pt>
                <c:pt idx="4">
                  <c:v>0.96899999999999997</c:v>
                </c:pt>
                <c:pt idx="5">
                  <c:v>1.0429999999999999</c:v>
                </c:pt>
                <c:pt idx="6">
                  <c:v>1.1020000000000001</c:v>
                </c:pt>
              </c:numCache>
            </c:numRef>
          </c:val>
          <c:extLst>
            <c:ext xmlns:c16="http://schemas.microsoft.com/office/drawing/2014/chart" uri="{C3380CC4-5D6E-409C-BE32-E72D297353CC}">
              <c16:uniqueId val="{0000000F-376B-4D1E-A3CB-A664C4EECFD8}"/>
            </c:ext>
          </c:extLst>
        </c:ser>
        <c:ser>
          <c:idx val="2"/>
          <c:order val="2"/>
          <c:tx>
            <c:strRef>
              <c:f>'for figure'!$AB$3</c:f>
              <c:strCache>
                <c:ptCount val="1"/>
                <c:pt idx="0">
                  <c:v>Biomass potassium</c:v>
                </c:pt>
              </c:strCache>
            </c:strRef>
          </c:tx>
          <c:spPr>
            <a:solidFill>
              <a:schemeClr val="accent3"/>
            </a:solidFill>
            <a:ln>
              <a:noFill/>
            </a:ln>
            <a:effectLst/>
          </c:spPr>
          <c:invertIfNegative val="0"/>
          <c:dLbls>
            <c:dLbl>
              <c:idx val="0"/>
              <c:tx>
                <c:rich>
                  <a:bodyPr/>
                  <a:lstStyle/>
                  <a:p>
                    <a:r>
                      <a:rPr lang="en-US" b="1" i="1">
                        <a:solidFill>
                          <a:sysClr val="windowText" lastClr="000000"/>
                        </a:solidFill>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376B-4D1E-A3CB-A664C4EECFD8}"/>
                </c:ext>
              </c:extLst>
            </c:dLbl>
            <c:dLbl>
              <c:idx val="1"/>
              <c:tx>
                <c:rich>
                  <a:bodyPr/>
                  <a:lstStyle/>
                  <a:p>
                    <a:r>
                      <a:rPr lang="en-US" b="1" i="1"/>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376B-4D1E-A3CB-A664C4EECFD8}"/>
                </c:ext>
              </c:extLst>
            </c:dLbl>
            <c:dLbl>
              <c:idx val="2"/>
              <c:tx>
                <c:rich>
                  <a:bodyPr/>
                  <a:lstStyle/>
                  <a:p>
                    <a:r>
                      <a:rPr lang="en-US" b="1" i="1">
                        <a:solidFill>
                          <a:sysClr val="windowText" lastClr="000000"/>
                        </a:solidFill>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376B-4D1E-A3CB-A664C4EECFD8}"/>
                </c:ext>
              </c:extLst>
            </c:dLbl>
            <c:dLbl>
              <c:idx val="3"/>
              <c:tx>
                <c:rich>
                  <a:bodyPr/>
                  <a:lstStyle/>
                  <a:p>
                    <a:r>
                      <a:rPr lang="en-US" b="1" i="1">
                        <a:solidFill>
                          <a:sysClr val="windowText" lastClr="000000"/>
                        </a:solidFill>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376B-4D1E-A3CB-A664C4EECFD8}"/>
                </c:ext>
              </c:extLst>
            </c:dLbl>
            <c:dLbl>
              <c:idx val="4"/>
              <c:tx>
                <c:rich>
                  <a:bodyPr/>
                  <a:lstStyle/>
                  <a:p>
                    <a:r>
                      <a:rPr lang="en-US" b="1" i="1">
                        <a:solidFill>
                          <a:sysClr val="windowText" lastClr="000000"/>
                        </a:solidFill>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376B-4D1E-A3CB-A664C4EECFD8}"/>
                </c:ext>
              </c:extLst>
            </c:dLbl>
            <c:dLbl>
              <c:idx val="5"/>
              <c:tx>
                <c:rich>
                  <a:bodyPr/>
                  <a:lstStyle/>
                  <a:p>
                    <a:r>
                      <a:rPr lang="en-US" b="1" i="1">
                        <a:solidFill>
                          <a:sysClr val="windowText" lastClr="000000"/>
                        </a:solidFill>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376B-4D1E-A3CB-A664C4EECFD8}"/>
                </c:ext>
              </c:extLst>
            </c:dLbl>
            <c:dLbl>
              <c:idx val="6"/>
              <c:tx>
                <c:rich>
                  <a:bodyPr/>
                  <a:lstStyle/>
                  <a:p>
                    <a:r>
                      <a:rPr lang="en-US" b="1" i="1">
                        <a:solidFill>
                          <a:sysClr val="windowText" lastClr="000000"/>
                        </a:solidFill>
                      </a:rPr>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376B-4D1E-A3CB-A664C4EECFD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'for figure'!$Y$4:$Y$10</c:f>
              <c:strCache>
                <c:ptCount val="7"/>
                <c:pt idx="0">
                  <c:v>0 - 0 - 0</c:v>
                </c:pt>
                <c:pt idx="1">
                  <c:v>10 – 15 – 10</c:v>
                </c:pt>
                <c:pt idx="2">
                  <c:v>20 – 15 – 20</c:v>
                </c:pt>
                <c:pt idx="3">
                  <c:v>20 – 30 – 10</c:v>
                </c:pt>
                <c:pt idx="4">
                  <c:v>20 – 30 – 20</c:v>
                </c:pt>
                <c:pt idx="5">
                  <c:v>20 – 45 – 20</c:v>
                </c:pt>
                <c:pt idx="6">
                  <c:v>30 – 45 - 30</c:v>
                </c:pt>
              </c:strCache>
            </c:strRef>
          </c:cat>
          <c:val>
            <c:numRef>
              <c:f>'for figure'!$AB$4:$AB$10</c:f>
              <c:numCache>
                <c:formatCode>0.00</c:formatCode>
                <c:ptCount val="7"/>
                <c:pt idx="0">
                  <c:v>3.13</c:v>
                </c:pt>
                <c:pt idx="1">
                  <c:v>2.7</c:v>
                </c:pt>
                <c:pt idx="2">
                  <c:v>2.63</c:v>
                </c:pt>
                <c:pt idx="3">
                  <c:v>2.39</c:v>
                </c:pt>
                <c:pt idx="4">
                  <c:v>3.42</c:v>
                </c:pt>
                <c:pt idx="5">
                  <c:v>4.47</c:v>
                </c:pt>
                <c:pt idx="6">
                  <c:v>4.72</c:v>
                </c:pt>
              </c:numCache>
            </c:numRef>
          </c:val>
          <c:extLst>
            <c:ext xmlns:c16="http://schemas.microsoft.com/office/drawing/2014/chart" uri="{C3380CC4-5D6E-409C-BE32-E72D297353CC}">
              <c16:uniqueId val="{00000017-376B-4D1E-A3CB-A664C4EECFD8}"/>
            </c:ext>
          </c:extLst>
        </c:ser>
        <c:dLbls>
          <c:dLblPos val="outEnd"/>
          <c:showLegendKey val="0"/>
          <c:showVal val="1"/>
          <c:showCatName val="0"/>
          <c:showSerName val="0"/>
          <c:showPercent val="0"/>
          <c:showBubbleSize val="0"/>
        </c:dLbls>
        <c:gapWidth val="219"/>
        <c:overlap val="-27"/>
        <c:axId val="399178728"/>
        <c:axId val="399179384"/>
      </c:barChart>
      <c:catAx>
        <c:axId val="3991787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00" b="0" i="0" baseline="0">
                    <a:effectLst/>
                  </a:rPr>
                  <a:t> </a:t>
                </a:r>
                <a:r>
                  <a:rPr lang="en-US" sz="1000" b="1" i="0" baseline="0">
                    <a:effectLst/>
                  </a:rPr>
                  <a:t>Treatments (N-P</a:t>
                </a:r>
                <a:r>
                  <a:rPr lang="en-US" sz="1000" b="1" i="0" baseline="-25000">
                    <a:effectLst/>
                  </a:rPr>
                  <a:t>2</a:t>
                </a:r>
                <a:r>
                  <a:rPr lang="en-US" sz="1000" b="1" i="0" baseline="0">
                    <a:effectLst/>
                  </a:rPr>
                  <a:t>O</a:t>
                </a:r>
                <a:r>
                  <a:rPr lang="en-US" sz="1000" b="1" i="0" baseline="-25000">
                    <a:effectLst/>
                  </a:rPr>
                  <a:t>5</a:t>
                </a:r>
                <a:r>
                  <a:rPr lang="en-US" sz="1000" b="1" i="0" baseline="0">
                    <a:effectLst/>
                  </a:rPr>
                  <a:t>-K</a:t>
                </a:r>
                <a:r>
                  <a:rPr lang="en-US" sz="1000" b="1" i="0" baseline="-25000">
                    <a:effectLst/>
                  </a:rPr>
                  <a:t>2</a:t>
                </a:r>
                <a:r>
                  <a:rPr lang="en-US" sz="1000" b="1" i="0" baseline="0">
                    <a:effectLst/>
                  </a:rPr>
                  <a:t>O, kg/ha)   </a:t>
                </a:r>
                <a:endParaRPr lang="en-GB" sz="1000">
                  <a:effectLst/>
                </a:endParaRPr>
              </a:p>
            </c:rich>
          </c:tx>
          <c:layout>
            <c:manualLayout>
              <c:xMode val="edge"/>
              <c:yMode val="edge"/>
              <c:x val="0.31483683289588804"/>
              <c:y val="0.8867399387576553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9179384"/>
        <c:crosses val="autoZero"/>
        <c:auto val="1"/>
        <c:lblAlgn val="ctr"/>
        <c:lblOffset val="100"/>
        <c:noMultiLvlLbl val="0"/>
      </c:catAx>
      <c:valAx>
        <c:axId val="3991793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00" b="1" i="0" baseline="0">
                    <a:solidFill>
                      <a:sysClr val="windowText" lastClr="000000"/>
                    </a:solidFill>
                    <a:effectLst/>
                  </a:rPr>
                  <a:t>Nutrient uptake kg/ha</a:t>
                </a:r>
                <a:endParaRPr lang="en-GB" sz="1000">
                  <a:solidFill>
                    <a:sysClr val="windowText" lastClr="000000"/>
                  </a:solidFill>
                  <a:effectLst/>
                </a:endParaRPr>
              </a:p>
            </c:rich>
          </c:tx>
          <c:layout>
            <c:manualLayout>
              <c:xMode val="edge"/>
              <c:yMode val="edge"/>
              <c:x val="0"/>
              <c:y val="9.259259259259258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9178728"/>
        <c:crosses val="autoZero"/>
        <c:crossBetween val="between"/>
      </c:valAx>
      <c:spPr>
        <a:noFill/>
        <a:ln>
          <a:noFill/>
        </a:ln>
        <a:effectLst/>
      </c:spPr>
    </c:plotArea>
    <c:legend>
      <c:legendPos val="b"/>
      <c:layout>
        <c:manualLayout>
          <c:xMode val="edge"/>
          <c:yMode val="edge"/>
          <c:x val="8.4390419947506567E-2"/>
          <c:y val="1.8684383202099739E-2"/>
          <c:w val="0.88677471566054245"/>
          <c:h val="7.8537839020122485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12459</Words>
  <Characters>71019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Obianuju Emmanuel</dc:creator>
  <cp:keywords/>
  <dc:description/>
  <cp:lastModifiedBy>Obianuju Emmanuel</cp:lastModifiedBy>
  <cp:revision>4</cp:revision>
  <dcterms:created xsi:type="dcterms:W3CDTF">2021-03-22T13:06:00Z</dcterms:created>
  <dcterms:modified xsi:type="dcterms:W3CDTF">2021-07-13T12:27:00Z</dcterms:modified>
</cp:coreProperties>
</file>