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E76880" w14:textId="11186DBD" w:rsidR="00BD1100" w:rsidRPr="00070342" w:rsidRDefault="00BD1100" w:rsidP="00000478">
      <w:pPr>
        <w:spacing w:line="480" w:lineRule="auto"/>
        <w:jc w:val="center"/>
        <w:rPr>
          <w:rFonts w:ascii="Times New Roman" w:hAnsi="Times New Roman" w:cs="Times New Roman"/>
          <w:b/>
          <w:bCs/>
          <w:sz w:val="32"/>
          <w:szCs w:val="32"/>
        </w:rPr>
      </w:pPr>
      <w:r w:rsidRPr="00070342">
        <w:rPr>
          <w:rFonts w:ascii="Times New Roman" w:hAnsi="Times New Roman" w:cs="Times New Roman"/>
          <w:b/>
          <w:bCs/>
          <w:sz w:val="32"/>
          <w:szCs w:val="32"/>
        </w:rPr>
        <w:t xml:space="preserve">The Role of Local Dyes in Dye-Doped </w:t>
      </w:r>
      <w:proofErr w:type="spellStart"/>
      <w:r w:rsidRPr="00070342">
        <w:rPr>
          <w:rFonts w:ascii="Times New Roman" w:hAnsi="Times New Roman" w:cs="Times New Roman"/>
          <w:b/>
          <w:bCs/>
          <w:sz w:val="32"/>
          <w:szCs w:val="32"/>
        </w:rPr>
        <w:t>Stannates</w:t>
      </w:r>
      <w:proofErr w:type="spellEnd"/>
      <w:r w:rsidRPr="00070342">
        <w:rPr>
          <w:rFonts w:ascii="Times New Roman" w:hAnsi="Times New Roman" w:cs="Times New Roman"/>
          <w:b/>
          <w:bCs/>
          <w:sz w:val="32"/>
          <w:szCs w:val="32"/>
        </w:rPr>
        <w:t xml:space="preserve"> and Titanates for Enhancement </w:t>
      </w:r>
      <w:proofErr w:type="spellStart"/>
      <w:r w:rsidRPr="00070342">
        <w:rPr>
          <w:rFonts w:ascii="Times New Roman" w:hAnsi="Times New Roman" w:cs="Times New Roman"/>
          <w:b/>
          <w:bCs/>
          <w:sz w:val="32"/>
          <w:szCs w:val="32"/>
        </w:rPr>
        <w:t>f</w:t>
      </w:r>
      <w:proofErr w:type="spellEnd"/>
      <w:r w:rsidRPr="00070342">
        <w:rPr>
          <w:rFonts w:ascii="Times New Roman" w:hAnsi="Times New Roman" w:cs="Times New Roman"/>
          <w:b/>
          <w:bCs/>
          <w:sz w:val="32"/>
          <w:szCs w:val="32"/>
        </w:rPr>
        <w:t xml:space="preserve"> Solar Energy Capture</w:t>
      </w:r>
    </w:p>
    <w:p w14:paraId="3FA0F308" w14:textId="77777777" w:rsidR="00BD1100" w:rsidRPr="00000478" w:rsidRDefault="00BD1100" w:rsidP="00000478">
      <w:pPr>
        <w:spacing w:line="480" w:lineRule="auto"/>
        <w:rPr>
          <w:rFonts w:ascii="Times New Roman" w:hAnsi="Times New Roman" w:cs="Times New Roman"/>
          <w:sz w:val="24"/>
          <w:szCs w:val="24"/>
        </w:rPr>
      </w:pPr>
    </w:p>
    <w:p w14:paraId="1C984F67" w14:textId="1C78AB9F" w:rsidR="00BD1100" w:rsidRPr="00070342" w:rsidRDefault="00BD1100" w:rsidP="00000478">
      <w:pPr>
        <w:spacing w:after="0" w:line="480" w:lineRule="auto"/>
        <w:rPr>
          <w:rFonts w:ascii="Times New Roman" w:eastAsia="Times New Roman" w:hAnsi="Times New Roman" w:cs="Times New Roman"/>
          <w:color w:val="000000"/>
          <w:sz w:val="28"/>
          <w:szCs w:val="28"/>
        </w:rPr>
      </w:pPr>
      <w:bookmarkStart w:id="0" w:name="_Hlk197943933"/>
      <w:r w:rsidRPr="00000478">
        <w:rPr>
          <w:rFonts w:ascii="Times New Roman" w:eastAsia="Times New Roman" w:hAnsi="Times New Roman" w:cs="Times New Roman"/>
          <w:b/>
          <w:i/>
          <w:color w:val="000000"/>
          <w:sz w:val="24"/>
          <w:szCs w:val="24"/>
        </w:rPr>
        <w:t xml:space="preserve">                                             </w:t>
      </w:r>
      <w:r w:rsidR="00917843">
        <w:rPr>
          <w:rFonts w:ascii="Times New Roman" w:eastAsia="Times New Roman" w:hAnsi="Times New Roman" w:cs="Times New Roman"/>
          <w:b/>
          <w:i/>
          <w:color w:val="000000"/>
          <w:sz w:val="24"/>
          <w:szCs w:val="24"/>
        </w:rPr>
        <w:t xml:space="preserve">                </w:t>
      </w:r>
      <w:r w:rsidRPr="00000478">
        <w:rPr>
          <w:rFonts w:ascii="Times New Roman" w:eastAsia="Times New Roman" w:hAnsi="Times New Roman" w:cs="Times New Roman"/>
          <w:b/>
          <w:i/>
          <w:color w:val="000000"/>
          <w:sz w:val="24"/>
          <w:szCs w:val="24"/>
        </w:rPr>
        <w:t xml:space="preserve"> </w:t>
      </w:r>
      <w:r w:rsidRPr="00070342">
        <w:rPr>
          <w:rFonts w:ascii="Times New Roman" w:eastAsia="Times New Roman" w:hAnsi="Times New Roman" w:cs="Times New Roman"/>
          <w:b/>
          <w:i/>
          <w:color w:val="000000"/>
          <w:sz w:val="28"/>
          <w:szCs w:val="28"/>
        </w:rPr>
        <w:t>C.N. Eze</w:t>
      </w:r>
      <w:r w:rsidRPr="00070342">
        <w:rPr>
          <w:rFonts w:ascii="Times New Roman" w:eastAsia="Times New Roman" w:hAnsi="Times New Roman" w:cs="Times New Roman"/>
          <w:b/>
          <w:i/>
          <w:color w:val="000000"/>
          <w:sz w:val="28"/>
          <w:szCs w:val="28"/>
          <w:vertAlign w:val="superscript"/>
        </w:rPr>
        <w:t xml:space="preserve">1,2,3,4*         </w:t>
      </w:r>
      <w:r w:rsidRPr="00070342">
        <w:rPr>
          <w:rFonts w:ascii="Times New Roman" w:eastAsia="Times New Roman" w:hAnsi="Times New Roman" w:cs="Times New Roman"/>
          <w:b/>
          <w:color w:val="000000"/>
          <w:sz w:val="28"/>
          <w:szCs w:val="28"/>
        </w:rPr>
        <w:t xml:space="preserve"> </w:t>
      </w:r>
    </w:p>
    <w:p w14:paraId="1A2ADF90" w14:textId="77777777" w:rsidR="00BD1100" w:rsidRPr="00ED1B9F" w:rsidRDefault="00BD1100" w:rsidP="00000478">
      <w:pPr>
        <w:spacing w:after="125" w:line="480" w:lineRule="auto"/>
        <w:rPr>
          <w:rFonts w:ascii="Times New Roman" w:eastAsia="Times New Roman" w:hAnsi="Times New Roman" w:cs="Times New Roman"/>
          <w:color w:val="000000"/>
          <w:sz w:val="24"/>
          <w:szCs w:val="24"/>
        </w:rPr>
      </w:pPr>
      <w:r w:rsidRPr="00ED1B9F">
        <w:rPr>
          <w:rFonts w:ascii="Times New Roman" w:eastAsia="Times New Roman" w:hAnsi="Times New Roman" w:cs="Times New Roman"/>
          <w:color w:val="000000"/>
          <w:sz w:val="24"/>
          <w:szCs w:val="24"/>
        </w:rPr>
        <w:t xml:space="preserve"> </w:t>
      </w:r>
    </w:p>
    <w:p w14:paraId="79CF532D" w14:textId="77777777" w:rsidR="00BD1100" w:rsidRPr="00ED1B9F" w:rsidRDefault="00BD1100" w:rsidP="00000478">
      <w:pPr>
        <w:spacing w:after="47" w:line="480" w:lineRule="auto"/>
        <w:ind w:left="705" w:right="49" w:hanging="720"/>
        <w:jc w:val="both"/>
        <w:rPr>
          <w:rFonts w:ascii="Times New Roman" w:eastAsia="Times New Roman" w:hAnsi="Times New Roman" w:cs="Times New Roman"/>
          <w:color w:val="000000"/>
          <w:sz w:val="24"/>
          <w:szCs w:val="24"/>
        </w:rPr>
      </w:pPr>
      <w:r w:rsidRPr="00ED1B9F">
        <w:rPr>
          <w:rFonts w:ascii="Times New Roman" w:eastAsia="Times New Roman" w:hAnsi="Times New Roman" w:cs="Times New Roman"/>
          <w:color w:val="000000"/>
          <w:sz w:val="24"/>
          <w:szCs w:val="24"/>
          <w:vertAlign w:val="superscript"/>
        </w:rPr>
        <w:t xml:space="preserve"> 1,2,3,4,5</w:t>
      </w:r>
      <w:r w:rsidRPr="00ED1B9F">
        <w:rPr>
          <w:rFonts w:ascii="Times New Roman" w:eastAsia="Times New Roman" w:hAnsi="Times New Roman" w:cs="Times New Roman"/>
          <w:color w:val="000000"/>
          <w:sz w:val="24"/>
          <w:szCs w:val="24"/>
        </w:rPr>
        <w:t>Department of Physics, Faculty of Physical Sciences, Federal University of Technology, Minna, Niger         State, Nigeria.</w:t>
      </w:r>
      <w:hyperlink r:id="rId5">
        <w:r w:rsidRPr="00ED1B9F">
          <w:rPr>
            <w:rFonts w:ascii="Times New Roman" w:eastAsia="Times New Roman" w:hAnsi="Times New Roman" w:cs="Times New Roman"/>
            <w:color w:val="494A4C"/>
            <w:sz w:val="24"/>
            <w:szCs w:val="24"/>
          </w:rPr>
          <w:t xml:space="preserve"> </w:t>
        </w:r>
      </w:hyperlink>
      <w:hyperlink r:id="rId6">
        <w:r w:rsidRPr="00ED1B9F">
          <w:rPr>
            <w:rFonts w:ascii="Times New Roman" w:eastAsia="Times New Roman" w:hAnsi="Times New Roman" w:cs="Times New Roman"/>
            <w:color w:val="1155CC"/>
            <w:sz w:val="24"/>
            <w:szCs w:val="24"/>
          </w:rPr>
          <w:t>https://orcid.org/0009</w:t>
        </w:r>
      </w:hyperlink>
      <w:hyperlink r:id="rId7">
        <w:r w:rsidRPr="00ED1B9F">
          <w:rPr>
            <w:rFonts w:ascii="Times New Roman" w:eastAsia="Times New Roman" w:hAnsi="Times New Roman" w:cs="Times New Roman"/>
            <w:color w:val="1155CC"/>
            <w:sz w:val="24"/>
            <w:szCs w:val="24"/>
          </w:rPr>
          <w:t>-</w:t>
        </w:r>
      </w:hyperlink>
      <w:hyperlink r:id="rId8">
        <w:r w:rsidRPr="00ED1B9F">
          <w:rPr>
            <w:rFonts w:ascii="Times New Roman" w:eastAsia="Times New Roman" w:hAnsi="Times New Roman" w:cs="Times New Roman"/>
            <w:color w:val="1155CC"/>
            <w:sz w:val="24"/>
            <w:szCs w:val="24"/>
          </w:rPr>
          <w:t>0009</w:t>
        </w:r>
      </w:hyperlink>
      <w:hyperlink r:id="rId9">
        <w:r w:rsidRPr="00ED1B9F">
          <w:rPr>
            <w:rFonts w:ascii="Times New Roman" w:eastAsia="Times New Roman" w:hAnsi="Times New Roman" w:cs="Times New Roman"/>
            <w:color w:val="1155CC"/>
            <w:sz w:val="24"/>
            <w:szCs w:val="24"/>
          </w:rPr>
          <w:t>-</w:t>
        </w:r>
      </w:hyperlink>
      <w:hyperlink r:id="rId10">
        <w:r w:rsidRPr="00ED1B9F">
          <w:rPr>
            <w:rFonts w:ascii="Times New Roman" w:eastAsia="Times New Roman" w:hAnsi="Times New Roman" w:cs="Times New Roman"/>
            <w:color w:val="1155CC"/>
            <w:sz w:val="24"/>
            <w:szCs w:val="24"/>
          </w:rPr>
          <w:t>3900</w:t>
        </w:r>
      </w:hyperlink>
      <w:hyperlink r:id="rId11">
        <w:r w:rsidRPr="00ED1B9F">
          <w:rPr>
            <w:rFonts w:ascii="Times New Roman" w:eastAsia="Times New Roman" w:hAnsi="Times New Roman" w:cs="Times New Roman"/>
            <w:color w:val="1155CC"/>
            <w:sz w:val="24"/>
            <w:szCs w:val="24"/>
          </w:rPr>
          <w:t>-</w:t>
        </w:r>
      </w:hyperlink>
      <w:hyperlink r:id="rId12">
        <w:r w:rsidRPr="00ED1B9F">
          <w:rPr>
            <w:rFonts w:ascii="Times New Roman" w:eastAsia="Times New Roman" w:hAnsi="Times New Roman" w:cs="Times New Roman"/>
            <w:color w:val="1155CC"/>
            <w:sz w:val="24"/>
            <w:szCs w:val="24"/>
          </w:rPr>
          <w:t>1055</w:t>
        </w:r>
      </w:hyperlink>
      <w:hyperlink r:id="rId13">
        <w:r w:rsidRPr="00ED1B9F">
          <w:rPr>
            <w:rFonts w:ascii="Times New Roman" w:eastAsia="Times New Roman" w:hAnsi="Times New Roman" w:cs="Times New Roman"/>
            <w:color w:val="494A4C"/>
            <w:sz w:val="24"/>
            <w:szCs w:val="24"/>
          </w:rPr>
          <w:t>.</w:t>
        </w:r>
      </w:hyperlink>
      <w:r w:rsidRPr="00ED1B9F">
        <w:rPr>
          <w:rFonts w:ascii="Times New Roman" w:eastAsia="Times New Roman" w:hAnsi="Times New Roman" w:cs="Times New Roman"/>
          <w:color w:val="000000"/>
          <w:sz w:val="24"/>
          <w:szCs w:val="24"/>
        </w:rPr>
        <w:t xml:space="preserve"> </w:t>
      </w:r>
    </w:p>
    <w:p w14:paraId="21B6EA93" w14:textId="77777777" w:rsidR="00BD1100" w:rsidRPr="00ED1B9F" w:rsidRDefault="00BD1100" w:rsidP="00000478">
      <w:pPr>
        <w:spacing w:after="3" w:line="480" w:lineRule="auto"/>
        <w:ind w:left="1425" w:right="49" w:hanging="1440"/>
        <w:jc w:val="both"/>
        <w:rPr>
          <w:rFonts w:ascii="Times New Roman" w:eastAsia="Times New Roman" w:hAnsi="Times New Roman" w:cs="Times New Roman"/>
          <w:color w:val="000000"/>
          <w:sz w:val="24"/>
          <w:szCs w:val="24"/>
        </w:rPr>
      </w:pPr>
      <w:r w:rsidRPr="00ED1B9F">
        <w:rPr>
          <w:rFonts w:ascii="Times New Roman" w:eastAsia="Times New Roman" w:hAnsi="Times New Roman" w:cs="Times New Roman"/>
          <w:color w:val="000000"/>
          <w:sz w:val="24"/>
          <w:szCs w:val="24"/>
          <w:vertAlign w:val="superscript"/>
        </w:rPr>
        <w:t xml:space="preserve">       2, </w:t>
      </w:r>
      <w:r w:rsidRPr="00ED1B9F">
        <w:rPr>
          <w:rFonts w:ascii="Times New Roman" w:eastAsia="Times New Roman" w:hAnsi="Times New Roman" w:cs="Times New Roman"/>
          <w:color w:val="000000"/>
          <w:sz w:val="24"/>
          <w:szCs w:val="24"/>
        </w:rPr>
        <w:t xml:space="preserve">Department of Industrial Physics, Faculty of Natural Sciences, Enugu State University of Science and Technology, Enugu, Nigeria. </w:t>
      </w:r>
    </w:p>
    <w:p w14:paraId="0151BB62" w14:textId="77777777" w:rsidR="00BD1100" w:rsidRPr="00ED1B9F" w:rsidRDefault="00BD1100" w:rsidP="00000478">
      <w:pPr>
        <w:spacing w:after="3" w:line="480" w:lineRule="auto"/>
        <w:ind w:left="1425" w:right="49" w:hanging="1440"/>
        <w:jc w:val="both"/>
        <w:rPr>
          <w:rFonts w:ascii="Times New Roman" w:eastAsia="Times New Roman" w:hAnsi="Times New Roman" w:cs="Times New Roman"/>
          <w:color w:val="000000"/>
          <w:sz w:val="24"/>
          <w:szCs w:val="24"/>
        </w:rPr>
      </w:pPr>
      <w:r w:rsidRPr="00ED1B9F">
        <w:rPr>
          <w:rFonts w:ascii="Times New Roman" w:eastAsia="Times New Roman" w:hAnsi="Times New Roman" w:cs="Times New Roman"/>
          <w:color w:val="000000"/>
          <w:sz w:val="24"/>
          <w:szCs w:val="24"/>
          <w:vertAlign w:val="superscript"/>
        </w:rPr>
        <w:t xml:space="preserve">                       4</w:t>
      </w:r>
      <w:r w:rsidRPr="00ED1B9F">
        <w:rPr>
          <w:rFonts w:ascii="Times New Roman" w:eastAsia="Times New Roman" w:hAnsi="Times New Roman" w:cs="Times New Roman"/>
          <w:color w:val="000000"/>
          <w:sz w:val="24"/>
          <w:szCs w:val="24"/>
        </w:rPr>
        <w:t xml:space="preserve">Nanolab/Crystal growth laboratory, Department of Physics and Astronomy, University of Nigeria, Nsukka </w:t>
      </w:r>
    </w:p>
    <w:p w14:paraId="378E57FF" w14:textId="77777777" w:rsidR="00BD1100" w:rsidRPr="00ED1B9F" w:rsidRDefault="00BD1100" w:rsidP="00000478">
      <w:pPr>
        <w:spacing w:after="39" w:line="480" w:lineRule="auto"/>
        <w:ind w:left="-5" w:right="49" w:hanging="10"/>
        <w:jc w:val="both"/>
        <w:rPr>
          <w:rFonts w:ascii="Times New Roman" w:eastAsia="Times New Roman" w:hAnsi="Times New Roman" w:cs="Times New Roman"/>
          <w:color w:val="000000"/>
          <w:sz w:val="24"/>
          <w:szCs w:val="24"/>
        </w:rPr>
      </w:pPr>
      <w:bookmarkStart w:id="1" w:name="_Hlk197944394"/>
      <w:r w:rsidRPr="00ED1B9F">
        <w:rPr>
          <w:rFonts w:ascii="Times New Roman" w:eastAsia="Times New Roman" w:hAnsi="Times New Roman" w:cs="Times New Roman"/>
          <w:color w:val="000000"/>
          <w:sz w:val="24"/>
          <w:szCs w:val="24"/>
        </w:rPr>
        <w:t xml:space="preserve">                                5Lab A, Ebonyi State University, </w:t>
      </w:r>
      <w:proofErr w:type="spellStart"/>
      <w:r w:rsidRPr="00ED1B9F">
        <w:rPr>
          <w:rFonts w:ascii="Times New Roman" w:eastAsia="Times New Roman" w:hAnsi="Times New Roman" w:cs="Times New Roman"/>
          <w:color w:val="000000"/>
          <w:sz w:val="24"/>
          <w:szCs w:val="24"/>
        </w:rPr>
        <w:t>Abakaliki</w:t>
      </w:r>
      <w:proofErr w:type="spellEnd"/>
      <w:r w:rsidRPr="00ED1B9F">
        <w:rPr>
          <w:rFonts w:ascii="Times New Roman" w:eastAsia="Times New Roman" w:hAnsi="Times New Roman" w:cs="Times New Roman"/>
          <w:color w:val="000000"/>
          <w:sz w:val="24"/>
          <w:szCs w:val="24"/>
        </w:rPr>
        <w:t xml:space="preserve">, Nigeria </w:t>
      </w:r>
    </w:p>
    <w:bookmarkEnd w:id="1"/>
    <w:p w14:paraId="6AD2B0B8" w14:textId="77777777" w:rsidR="00BD1100" w:rsidRPr="00000478" w:rsidRDefault="00BD1100" w:rsidP="00000478">
      <w:pPr>
        <w:spacing w:after="145" w:line="480" w:lineRule="auto"/>
        <w:rPr>
          <w:rFonts w:ascii="Times New Roman" w:eastAsia="Times New Roman" w:hAnsi="Times New Roman" w:cs="Times New Roman"/>
          <w:color w:val="000000"/>
          <w:sz w:val="24"/>
          <w:szCs w:val="24"/>
        </w:rPr>
      </w:pPr>
      <w:r w:rsidRPr="00ED1B9F">
        <w:rPr>
          <w:rFonts w:ascii="Times New Roman" w:eastAsia="Times New Roman" w:hAnsi="Times New Roman" w:cs="Times New Roman"/>
          <w:color w:val="000000"/>
          <w:sz w:val="24"/>
          <w:szCs w:val="24"/>
        </w:rPr>
        <w:t xml:space="preserve"> </w:t>
      </w:r>
    </w:p>
    <w:p w14:paraId="398FF211" w14:textId="77777777" w:rsidR="00FC2D03" w:rsidRPr="00000478" w:rsidRDefault="00FC2D03" w:rsidP="00000478">
      <w:pPr>
        <w:spacing w:after="145" w:line="480" w:lineRule="auto"/>
        <w:rPr>
          <w:rFonts w:ascii="Times New Roman" w:eastAsia="Times New Roman" w:hAnsi="Times New Roman" w:cs="Times New Roman"/>
          <w:color w:val="000000"/>
          <w:sz w:val="24"/>
          <w:szCs w:val="24"/>
        </w:rPr>
      </w:pPr>
    </w:p>
    <w:p w14:paraId="3F364998" w14:textId="77777777" w:rsidR="00FC2D03" w:rsidRPr="00000478" w:rsidRDefault="00FC2D03" w:rsidP="00000478">
      <w:pPr>
        <w:spacing w:after="145" w:line="480" w:lineRule="auto"/>
        <w:rPr>
          <w:rFonts w:ascii="Times New Roman" w:eastAsia="Times New Roman" w:hAnsi="Times New Roman" w:cs="Times New Roman"/>
          <w:color w:val="000000"/>
          <w:sz w:val="24"/>
          <w:szCs w:val="24"/>
        </w:rPr>
      </w:pPr>
    </w:p>
    <w:p w14:paraId="6B79957E" w14:textId="77777777" w:rsidR="00FC2D03" w:rsidRPr="00000478" w:rsidRDefault="00FC2D03" w:rsidP="00000478">
      <w:pPr>
        <w:spacing w:after="145" w:line="480" w:lineRule="auto"/>
        <w:rPr>
          <w:rFonts w:ascii="Times New Roman" w:eastAsia="Times New Roman" w:hAnsi="Times New Roman" w:cs="Times New Roman"/>
          <w:color w:val="000000"/>
          <w:sz w:val="24"/>
          <w:szCs w:val="24"/>
        </w:rPr>
      </w:pPr>
    </w:p>
    <w:p w14:paraId="4251527E" w14:textId="77777777" w:rsidR="00FC2D03" w:rsidRPr="00ED1B9F" w:rsidRDefault="00FC2D03" w:rsidP="00000478">
      <w:pPr>
        <w:spacing w:after="145" w:line="480" w:lineRule="auto"/>
        <w:rPr>
          <w:rFonts w:ascii="Times New Roman" w:eastAsia="Times New Roman" w:hAnsi="Times New Roman" w:cs="Times New Roman"/>
          <w:color w:val="000000"/>
          <w:sz w:val="24"/>
          <w:szCs w:val="24"/>
        </w:rPr>
      </w:pPr>
    </w:p>
    <w:p w14:paraId="6FD9E625" w14:textId="0F0D677E" w:rsidR="00876BFA" w:rsidRPr="00000478" w:rsidRDefault="00BD1100" w:rsidP="00000478">
      <w:pPr>
        <w:spacing w:after="166" w:line="480" w:lineRule="auto"/>
        <w:ind w:right="2546"/>
        <w:rPr>
          <w:rFonts w:ascii="Times New Roman" w:eastAsia="Times New Roman" w:hAnsi="Times New Roman" w:cs="Times New Roman"/>
          <w:color w:val="000000"/>
          <w:sz w:val="24"/>
          <w:szCs w:val="24"/>
        </w:rPr>
      </w:pPr>
      <w:r w:rsidRPr="00ED1B9F">
        <w:rPr>
          <w:rFonts w:ascii="Times New Roman" w:eastAsia="Times New Roman" w:hAnsi="Times New Roman" w:cs="Times New Roman"/>
          <w:color w:val="000000"/>
          <w:sz w:val="24"/>
          <w:szCs w:val="24"/>
        </w:rPr>
        <w:t xml:space="preserve">                        </w:t>
      </w:r>
      <w:r w:rsidRPr="00ED1B9F">
        <w:rPr>
          <w:rFonts w:ascii="Times New Roman" w:eastAsia="Segoe UI Symbol" w:hAnsi="Times New Roman" w:cs="Times New Roman"/>
          <w:color w:val="000000"/>
          <w:sz w:val="24"/>
          <w:szCs w:val="24"/>
        </w:rPr>
        <w:t></w:t>
      </w:r>
      <w:r w:rsidRPr="00ED1B9F">
        <w:rPr>
          <w:rFonts w:ascii="Times New Roman" w:eastAsia="Times New Roman" w:hAnsi="Times New Roman" w:cs="Times New Roman"/>
          <w:color w:val="000000"/>
          <w:sz w:val="24"/>
          <w:szCs w:val="24"/>
        </w:rPr>
        <w:t>Corresponding author:</w:t>
      </w:r>
      <w:r w:rsidR="001903D9">
        <w:rPr>
          <w:rFonts w:ascii="Times New Roman" w:eastAsia="Times New Roman" w:hAnsi="Times New Roman" w:cs="Times New Roman"/>
          <w:color w:val="000000"/>
          <w:sz w:val="24"/>
          <w:szCs w:val="24"/>
        </w:rPr>
        <w:t xml:space="preserve"> </w:t>
      </w:r>
      <w:r w:rsidRPr="00ED1B9F">
        <w:rPr>
          <w:rFonts w:ascii="Times New Roman" w:eastAsia="Times New Roman" w:hAnsi="Times New Roman" w:cs="Times New Roman"/>
          <w:color w:val="0000FF"/>
          <w:sz w:val="24"/>
          <w:szCs w:val="24"/>
          <w:u w:val="single" w:color="0000FF"/>
        </w:rPr>
        <w:t>marygodchrist@gmail.com</w:t>
      </w:r>
      <w:r w:rsidRPr="00ED1B9F">
        <w:rPr>
          <w:rFonts w:ascii="Times New Roman" w:eastAsia="Times New Roman" w:hAnsi="Times New Roman" w:cs="Times New Roman"/>
          <w:color w:val="000000"/>
          <w:sz w:val="24"/>
          <w:szCs w:val="24"/>
        </w:rPr>
        <w:t xml:space="preserve">, </w:t>
      </w:r>
    </w:p>
    <w:p w14:paraId="2FD27B68" w14:textId="1581BCA0" w:rsidR="00BD1100" w:rsidRPr="00ED1B9F" w:rsidRDefault="00876BFA" w:rsidP="00000478">
      <w:pPr>
        <w:spacing w:after="166" w:line="480" w:lineRule="auto"/>
        <w:ind w:right="2546"/>
        <w:rPr>
          <w:rFonts w:ascii="Times New Roman" w:eastAsia="Times New Roman" w:hAnsi="Times New Roman" w:cs="Times New Roman"/>
          <w:color w:val="000000"/>
          <w:sz w:val="24"/>
          <w:szCs w:val="24"/>
        </w:rPr>
      </w:pPr>
      <w:r w:rsidRPr="00000478">
        <w:rPr>
          <w:rFonts w:ascii="Times New Roman" w:eastAsia="Times New Roman" w:hAnsi="Times New Roman" w:cs="Times New Roman"/>
          <w:color w:val="000000"/>
          <w:sz w:val="24"/>
          <w:szCs w:val="24"/>
        </w:rPr>
        <w:t xml:space="preserve">                                                        </w:t>
      </w:r>
      <w:r w:rsidR="00BD1100" w:rsidRPr="00ED1B9F">
        <w:rPr>
          <w:rFonts w:ascii="Times New Roman" w:eastAsia="Times New Roman" w:hAnsi="Times New Roman" w:cs="Times New Roman"/>
          <w:color w:val="000000"/>
          <w:sz w:val="24"/>
          <w:szCs w:val="24"/>
        </w:rPr>
        <w:t>Tel: +2348038711901</w:t>
      </w:r>
      <w:r w:rsidR="00BD1100" w:rsidRPr="00ED1B9F">
        <w:rPr>
          <w:rFonts w:ascii="Times New Roman" w:eastAsia="Times New Roman" w:hAnsi="Times New Roman" w:cs="Times New Roman"/>
          <w:color w:val="0000FF"/>
          <w:sz w:val="24"/>
          <w:szCs w:val="24"/>
        </w:rPr>
        <w:t xml:space="preserve"> </w:t>
      </w:r>
      <w:r w:rsidR="00BD1100" w:rsidRPr="00ED1B9F">
        <w:rPr>
          <w:rFonts w:ascii="Times New Roman" w:eastAsia="Times New Roman" w:hAnsi="Times New Roman" w:cs="Times New Roman"/>
          <w:color w:val="000000"/>
          <w:sz w:val="24"/>
          <w:szCs w:val="24"/>
        </w:rPr>
        <w:t xml:space="preserve"> </w:t>
      </w:r>
    </w:p>
    <w:bookmarkEnd w:id="0"/>
    <w:p w14:paraId="453F0750" w14:textId="77777777" w:rsidR="00BD1100" w:rsidRPr="00000478" w:rsidRDefault="00BD1100"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3ED60113" w14:textId="022EC280" w:rsidR="00FC2D03" w:rsidRPr="00000478" w:rsidRDefault="00FC2D03" w:rsidP="00000478">
      <w:pPr>
        <w:shd w:val="clear" w:color="auto" w:fill="FFFFFF"/>
        <w:spacing w:line="480" w:lineRule="auto"/>
        <w:rPr>
          <w:rFonts w:ascii="Times New Roman" w:eastAsia="Times New Roman" w:hAnsi="Times New Roman" w:cs="Times New Roman"/>
          <w:b/>
          <w:bCs/>
          <w:color w:val="001D35"/>
          <w:kern w:val="0"/>
          <w:sz w:val="24"/>
          <w:szCs w:val="24"/>
          <w14:ligatures w14:val="none"/>
        </w:rPr>
      </w:pPr>
      <w:r w:rsidRPr="00000478">
        <w:rPr>
          <w:rFonts w:ascii="Times New Roman" w:eastAsia="Times New Roman" w:hAnsi="Times New Roman" w:cs="Times New Roman"/>
          <w:b/>
          <w:bCs/>
          <w:color w:val="001D35"/>
          <w:kern w:val="0"/>
          <w:sz w:val="24"/>
          <w:szCs w:val="24"/>
          <w14:ligatures w14:val="none"/>
        </w:rPr>
        <w:lastRenderedPageBreak/>
        <w:t>Abstract</w:t>
      </w:r>
    </w:p>
    <w:p w14:paraId="534FEAAE" w14:textId="32DF70F4" w:rsidR="000C5AD5" w:rsidRPr="00000478" w:rsidRDefault="00FC2D03"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r w:rsidRPr="00000478">
        <w:rPr>
          <w:rFonts w:ascii="Times New Roman" w:eastAsia="Times New Roman" w:hAnsi="Times New Roman" w:cs="Times New Roman"/>
          <w:color w:val="001D35"/>
          <w:kern w:val="0"/>
          <w:sz w:val="24"/>
          <w:szCs w:val="24"/>
          <w14:ligatures w14:val="none"/>
        </w:rPr>
        <w:t xml:space="preserve">Local dyes play a crucial role in enhancing solar energy capture in dye-doped </w:t>
      </w:r>
      <w:proofErr w:type="spellStart"/>
      <w:r w:rsidRPr="00000478">
        <w:rPr>
          <w:rFonts w:ascii="Times New Roman" w:eastAsia="Times New Roman" w:hAnsi="Times New Roman" w:cs="Times New Roman"/>
          <w:color w:val="001D35"/>
          <w:kern w:val="0"/>
          <w:sz w:val="24"/>
          <w:szCs w:val="24"/>
          <w14:ligatures w14:val="none"/>
        </w:rPr>
        <w:t>stannates</w:t>
      </w:r>
      <w:proofErr w:type="spellEnd"/>
      <w:r w:rsidRPr="00000478">
        <w:rPr>
          <w:rFonts w:ascii="Times New Roman" w:eastAsia="Times New Roman" w:hAnsi="Times New Roman" w:cs="Times New Roman"/>
          <w:color w:val="001D35"/>
          <w:kern w:val="0"/>
          <w:sz w:val="24"/>
          <w:szCs w:val="24"/>
          <w14:ligatures w14:val="none"/>
        </w:rPr>
        <w:t xml:space="preserve"> and titanates by acting as light-harvesting agents, boosting the efficiency of dye-sensitized solar cells (DSSCs). These dyes, when adsorbed onto the surfaces of porous semiconductor materials like TiO2, absorb incoming sunlight and then inject electrons into the semiconductor, initiating an electron transfer process that generates electricity. This process is similar to how plants capture sunlight in photosynthesis. </w:t>
      </w:r>
      <w:proofErr w:type="spellStart"/>
      <w:r w:rsidR="00824845" w:rsidRPr="008B618D">
        <w:rPr>
          <w:rFonts w:ascii="Times New Roman" w:eastAsia="Times New Roman" w:hAnsi="Times New Roman" w:cs="Times New Roman"/>
          <w:color w:val="001D35"/>
          <w:kern w:val="0"/>
          <w:sz w:val="24"/>
          <w:szCs w:val="24"/>
          <w14:ligatures w14:val="none"/>
        </w:rPr>
        <w:t>Stannates</w:t>
      </w:r>
      <w:proofErr w:type="spellEnd"/>
      <w:r w:rsidR="00824845" w:rsidRPr="008B618D">
        <w:rPr>
          <w:rFonts w:ascii="Times New Roman" w:eastAsia="Times New Roman" w:hAnsi="Times New Roman" w:cs="Times New Roman"/>
          <w:color w:val="001D35"/>
          <w:kern w:val="0"/>
          <w:sz w:val="24"/>
          <w:szCs w:val="24"/>
          <w14:ligatures w14:val="none"/>
        </w:rPr>
        <w:t xml:space="preserve"> and titanates, such as TiO2,</w:t>
      </w:r>
      <w:r w:rsidR="00824845">
        <w:rPr>
          <w:rFonts w:ascii="Times New Roman" w:eastAsia="Times New Roman" w:hAnsi="Times New Roman" w:cs="Times New Roman"/>
          <w:color w:val="001D35"/>
          <w:kern w:val="0"/>
          <w:sz w:val="24"/>
          <w:szCs w:val="24"/>
          <w14:ligatures w14:val="none"/>
        </w:rPr>
        <w:t xml:space="preserve"> </w:t>
      </w:r>
      <w:r w:rsidR="00824845" w:rsidRPr="008B618D">
        <w:rPr>
          <w:rFonts w:ascii="Times New Roman" w:eastAsia="Times New Roman" w:hAnsi="Times New Roman" w:cs="Times New Roman"/>
          <w:color w:val="001D35"/>
          <w:kern w:val="0"/>
          <w:sz w:val="24"/>
          <w:szCs w:val="24"/>
          <w14:ligatures w14:val="none"/>
        </w:rPr>
        <w:t xml:space="preserve">ZnTiO3, BaSnO3 </w:t>
      </w:r>
      <w:proofErr w:type="spellStart"/>
      <w:r w:rsidR="00824845" w:rsidRPr="008B618D">
        <w:rPr>
          <w:rFonts w:ascii="Times New Roman" w:eastAsia="Times New Roman" w:hAnsi="Times New Roman" w:cs="Times New Roman"/>
          <w:color w:val="001D35"/>
          <w:kern w:val="0"/>
          <w:sz w:val="24"/>
          <w:szCs w:val="24"/>
          <w14:ligatures w14:val="none"/>
        </w:rPr>
        <w:t>etc</w:t>
      </w:r>
      <w:proofErr w:type="spellEnd"/>
      <w:r w:rsidR="00824845" w:rsidRPr="008B618D">
        <w:rPr>
          <w:rFonts w:ascii="Times New Roman" w:eastAsia="Times New Roman" w:hAnsi="Times New Roman" w:cs="Times New Roman"/>
          <w:color w:val="001D35"/>
          <w:kern w:val="0"/>
          <w:sz w:val="24"/>
          <w:szCs w:val="24"/>
          <w14:ligatures w14:val="none"/>
        </w:rPr>
        <w:t xml:space="preserve"> provide a porous surface for dye adsorption and act as the conductive material for electron transport. Their nanostructured surfaces increase the surface area available for dye adsorption, enhancing light capture. </w:t>
      </w:r>
    </w:p>
    <w:p w14:paraId="4206732F" w14:textId="77777777" w:rsidR="000C5AD5" w:rsidRPr="00000478" w:rsidRDefault="000C5AD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4BB4C7A1" w14:textId="77777777" w:rsidR="000C5AD5" w:rsidRPr="00000478" w:rsidRDefault="000C5AD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5517FDD8" w14:textId="77777777" w:rsidR="000C5AD5" w:rsidRPr="00000478" w:rsidRDefault="000C5AD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54E01670" w14:textId="77777777" w:rsidR="000C5AD5" w:rsidRDefault="000C5AD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13F83214" w14:textId="77777777" w:rsidR="00824845" w:rsidRPr="00000478" w:rsidRDefault="0082484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7D376BC5" w14:textId="3AB00D78" w:rsidR="000C5AD5" w:rsidRDefault="000C5AD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47FF1D17" w14:textId="77777777" w:rsidR="00824845" w:rsidRDefault="0082484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5D71D72C" w14:textId="77777777" w:rsidR="00824845" w:rsidRPr="00000478" w:rsidRDefault="0082484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256FAC27" w14:textId="5A079DDD" w:rsidR="000C5AD5" w:rsidRPr="00000478" w:rsidRDefault="000C5AD5"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r w:rsidRPr="00000478">
        <w:rPr>
          <w:rFonts w:ascii="Times New Roman" w:eastAsia="Times New Roman" w:hAnsi="Times New Roman" w:cs="Times New Roman"/>
          <w:color w:val="001D35"/>
          <w:kern w:val="0"/>
          <w:sz w:val="24"/>
          <w:szCs w:val="24"/>
          <w14:ligatures w14:val="none"/>
        </w:rPr>
        <w:t xml:space="preserve">Keywords: Local Dyes, </w:t>
      </w:r>
      <w:proofErr w:type="spellStart"/>
      <w:r w:rsidRPr="00000478">
        <w:rPr>
          <w:rFonts w:ascii="Times New Roman" w:eastAsia="Times New Roman" w:hAnsi="Times New Roman" w:cs="Times New Roman"/>
          <w:color w:val="001D35"/>
          <w:kern w:val="0"/>
          <w:sz w:val="24"/>
          <w:szCs w:val="24"/>
          <w14:ligatures w14:val="none"/>
        </w:rPr>
        <w:t>Stannates</w:t>
      </w:r>
      <w:proofErr w:type="spellEnd"/>
      <w:r w:rsidRPr="00000478">
        <w:rPr>
          <w:rFonts w:ascii="Times New Roman" w:eastAsia="Times New Roman" w:hAnsi="Times New Roman" w:cs="Times New Roman"/>
          <w:color w:val="001D35"/>
          <w:kern w:val="0"/>
          <w:sz w:val="24"/>
          <w:szCs w:val="24"/>
          <w14:ligatures w14:val="none"/>
        </w:rPr>
        <w:t xml:space="preserve">, </w:t>
      </w:r>
      <w:proofErr w:type="spellStart"/>
      <w:r w:rsidRPr="00000478">
        <w:rPr>
          <w:rFonts w:ascii="Times New Roman" w:eastAsia="Times New Roman" w:hAnsi="Times New Roman" w:cs="Times New Roman"/>
          <w:color w:val="001D35"/>
          <w:kern w:val="0"/>
          <w:sz w:val="24"/>
          <w:szCs w:val="24"/>
          <w14:ligatures w14:val="none"/>
        </w:rPr>
        <w:t>Titannates</w:t>
      </w:r>
      <w:proofErr w:type="spellEnd"/>
      <w:r w:rsidRPr="00000478">
        <w:rPr>
          <w:rFonts w:ascii="Times New Roman" w:eastAsia="Times New Roman" w:hAnsi="Times New Roman" w:cs="Times New Roman"/>
          <w:color w:val="001D35"/>
          <w:kern w:val="0"/>
          <w:sz w:val="24"/>
          <w:szCs w:val="24"/>
          <w14:ligatures w14:val="none"/>
        </w:rPr>
        <w:t>, Solar Energy, Energy Enhancement,</w:t>
      </w:r>
    </w:p>
    <w:p w14:paraId="4A9100AF" w14:textId="77777777" w:rsidR="001903D9" w:rsidRPr="00000478" w:rsidRDefault="001903D9" w:rsidP="00000478">
      <w:pPr>
        <w:shd w:val="clear" w:color="auto" w:fill="FFFFFF"/>
        <w:spacing w:line="480" w:lineRule="auto"/>
        <w:rPr>
          <w:rFonts w:ascii="Times New Roman" w:eastAsia="Times New Roman" w:hAnsi="Times New Roman" w:cs="Times New Roman"/>
          <w:color w:val="001D35"/>
          <w:kern w:val="0"/>
          <w:sz w:val="24"/>
          <w:szCs w:val="24"/>
          <w14:ligatures w14:val="none"/>
        </w:rPr>
      </w:pPr>
    </w:p>
    <w:p w14:paraId="11A6CC6B" w14:textId="0D8FC52B" w:rsidR="00FC2D03" w:rsidRPr="001903D9" w:rsidRDefault="00FC2D03" w:rsidP="00000478">
      <w:pPr>
        <w:shd w:val="clear" w:color="auto" w:fill="FFFFFF"/>
        <w:spacing w:line="480" w:lineRule="auto"/>
        <w:rPr>
          <w:rFonts w:ascii="Times New Roman" w:eastAsia="Times New Roman" w:hAnsi="Times New Roman" w:cs="Times New Roman"/>
          <w:b/>
          <w:bCs/>
          <w:color w:val="001D35"/>
          <w:kern w:val="0"/>
          <w:sz w:val="24"/>
          <w:szCs w:val="24"/>
          <w14:ligatures w14:val="none"/>
        </w:rPr>
      </w:pPr>
      <w:r w:rsidRPr="001903D9">
        <w:rPr>
          <w:rFonts w:ascii="Times New Roman" w:eastAsia="Times New Roman" w:hAnsi="Times New Roman" w:cs="Times New Roman"/>
          <w:b/>
          <w:bCs/>
          <w:color w:val="001D35"/>
          <w:kern w:val="0"/>
          <w:sz w:val="24"/>
          <w:szCs w:val="24"/>
          <w14:ligatures w14:val="none"/>
        </w:rPr>
        <w:lastRenderedPageBreak/>
        <w:t>Introduction</w:t>
      </w:r>
    </w:p>
    <w:p w14:paraId="5F6F4A5E" w14:textId="77777777" w:rsidR="001903D9" w:rsidRDefault="00FC2D03" w:rsidP="00000478">
      <w:pPr>
        <w:shd w:val="clear" w:color="auto" w:fill="FFFFFF"/>
        <w:spacing w:line="480" w:lineRule="auto"/>
        <w:rPr>
          <w:rFonts w:ascii="Times New Roman" w:hAnsi="Times New Roman" w:cs="Times New Roman"/>
          <w:sz w:val="24"/>
          <w:szCs w:val="24"/>
        </w:rPr>
      </w:pPr>
      <w:r w:rsidRPr="00000478">
        <w:rPr>
          <w:rFonts w:ascii="Times New Roman" w:hAnsi="Times New Roman" w:cs="Times New Roman"/>
          <w:sz w:val="24"/>
          <w:szCs w:val="24"/>
        </w:rPr>
        <w:t xml:space="preserve">The supply and demand of energy determine the course of global development in every sphere of human activity. Sufficient supplies of clean energy are intimately linked with global stability, economic prosperity, and quality of life. Finding energy sources to satisfy the world’s growing demand is one of society’s foremost challenges for the next half-century. The importance of this pervasive problem and the perplexing technical difficulty of solving it require a concerted national effort marshalling our most advanced scientific and technological capabilities. </w:t>
      </w:r>
    </w:p>
    <w:p w14:paraId="665ED48E" w14:textId="17D7A7C5" w:rsidR="00FC2D03" w:rsidRDefault="00FC2D03" w:rsidP="00000478">
      <w:pPr>
        <w:shd w:val="clear" w:color="auto" w:fill="FFFFFF"/>
        <w:spacing w:line="480" w:lineRule="auto"/>
        <w:rPr>
          <w:rFonts w:ascii="Times New Roman" w:hAnsi="Times New Roman" w:cs="Times New Roman"/>
          <w:sz w:val="24"/>
          <w:szCs w:val="24"/>
        </w:rPr>
      </w:pPr>
      <w:r w:rsidRPr="00000478">
        <w:rPr>
          <w:rFonts w:ascii="Times New Roman" w:hAnsi="Times New Roman" w:cs="Times New Roman"/>
          <w:sz w:val="24"/>
          <w:szCs w:val="24"/>
        </w:rPr>
        <w:t xml:space="preserve">Natural photosynthesis produces fuel in the form of sugars and other carbohydrates derived from the reduction of CO2 in the atmosphere and used to power the growth of plants. The plants themselves become available 3 as biomass for combustion as primary fuels or for conversion in reactors to secondary fuels like liquid ethanol or gaseous carbon monoxide, methane, and hydrogen. We are now learning to mimic the natural photosynthetic process in the laboratory using artificial molecular assemblies, where the excited electrons and holes can drive chemical reactions to produce fuels that link to our existing energy networks. Atmospheric CO2 can be reduced to ethanol or methane, or water can be split to create hydrogen. These fuels are the storage media for solar energy, bridging the natural day-night, winter-summer, and cloudy-sunny cycles of solar radiation. In addition to electric and chemical conversion routes, solar radiation can be converted to heat energy. Solar concentrators focus sunlight collected over a large area to a line or spot where heat is collected in an absorber. Temperatures as high as 3,000°C can be generated to drive chemical reactions, or heat can be collected at lower temperatures and transferred to a thermal storage medium like water for distributed space heating or steam to drive an engine. Effective storage of solar energy as heat requires developing thermal storage media that accumulate heat efficiently during sunny periods and release heat slowly during dark or </w:t>
      </w:r>
      <w:r w:rsidRPr="00000478">
        <w:rPr>
          <w:rFonts w:ascii="Times New Roman" w:hAnsi="Times New Roman" w:cs="Times New Roman"/>
          <w:sz w:val="24"/>
          <w:szCs w:val="24"/>
        </w:rPr>
        <w:lastRenderedPageBreak/>
        <w:t>cloudy periods. Heat is one of the most versatile forms of energy, the common link in nearly all our energy networks. Solar thermal conversion can replace much of the heat now supplied by fossil fuel. Although many routes use solar energy to produce electricity, fuel, and heat, none are currently competitive with fossil fuels for a combination of cost, reliability, and performance. Solar electricity from photovoltaics is too costly, by factors of 5–10, to compete with fossil-derived electricity, and is too costly by factors of 25–50 to compete with fossil fuel as a primary energy source. Solar fuels in the form of biomass produce electricity and heat at costs that are within range of fossil fuels, but their production capacity is limited. The low efficiency with which they convert sunlight to stored energy means large land areas are required. To produce the full 13 TW of power used by the planet, nearly all the arable land on Earth would need to be planted with switchgrass, the fastest-growing energy crop. Artificial photosynthetic systems are promising routes for converting solar energy to fuels, but they are still in the laboratory stage where the principles of their assembly and functionality are being explored. Solar thermal systems provide the lowest-cost solar electricity at the present time, but require large areas in the Sun Belt and breakthroughs in materials to become economically competitive with fossil energy as a primary energy source. While solar energy has enormous promise as a clean, abundant, economical energy source, it presents formidable basic research challenges in designing materials and in understanding the electronic and molecular basis of capture, conversion, and storage before its promise can be realized.</w:t>
      </w:r>
    </w:p>
    <w:p w14:paraId="2E93631B" w14:textId="7450EA14" w:rsidR="001903D9" w:rsidRDefault="001903D9" w:rsidP="00000478">
      <w:pPr>
        <w:shd w:val="clear" w:color="auto" w:fill="FFFFFF"/>
        <w:spacing w:line="480" w:lineRule="auto"/>
        <w:rPr>
          <w:rFonts w:ascii="Times New Roman" w:hAnsi="Times New Roman" w:cs="Times New Roman"/>
          <w:sz w:val="24"/>
          <w:szCs w:val="24"/>
        </w:rPr>
      </w:pPr>
      <w:r w:rsidRPr="001903D9">
        <w:rPr>
          <w:rFonts w:ascii="Times New Roman" w:hAnsi="Times New Roman" w:cs="Times New Roman"/>
          <w:sz w:val="24"/>
          <w:szCs w:val="24"/>
        </w:rPr>
        <w:t>THE ENERGY CHALLENGE</w:t>
      </w:r>
      <w:r>
        <w:rPr>
          <w:rFonts w:ascii="Times New Roman" w:hAnsi="Times New Roman" w:cs="Times New Roman"/>
          <w:sz w:val="24"/>
          <w:szCs w:val="24"/>
        </w:rPr>
        <w:t xml:space="preserve">: </w:t>
      </w:r>
      <w:r w:rsidRPr="00000478">
        <w:rPr>
          <w:rFonts w:ascii="Times New Roman" w:hAnsi="Times New Roman" w:cs="Times New Roman"/>
          <w:sz w:val="24"/>
          <w:szCs w:val="24"/>
        </w:rPr>
        <w:t xml:space="preserve"> The world now uses energy at a rate of approximately 4.1 × 1020 joules/</w:t>
      </w:r>
      <w:proofErr w:type="spellStart"/>
      <w:r w:rsidRPr="00000478">
        <w:rPr>
          <w:rFonts w:ascii="Times New Roman" w:hAnsi="Times New Roman" w:cs="Times New Roman"/>
          <w:sz w:val="24"/>
          <w:szCs w:val="24"/>
        </w:rPr>
        <w:t>yr</w:t>
      </w:r>
      <w:proofErr w:type="spellEnd"/>
      <w:r w:rsidRPr="00000478">
        <w:rPr>
          <w:rFonts w:ascii="Times New Roman" w:hAnsi="Times New Roman" w:cs="Times New Roman"/>
          <w:sz w:val="24"/>
          <w:szCs w:val="24"/>
        </w:rPr>
        <w:t xml:space="preserve">, equivalent to a continuous power consumption of 13 trillion watts, or 13 terawatts (TW). Even with aggressive conservation and energy efficiency measures, an increase of the Earth’s population to 9 billion people, accompanied by rapid technology development and </w:t>
      </w:r>
      <w:r w:rsidRPr="00000478">
        <w:rPr>
          <w:rFonts w:ascii="Times New Roman" w:hAnsi="Times New Roman" w:cs="Times New Roman"/>
          <w:sz w:val="24"/>
          <w:szCs w:val="24"/>
        </w:rPr>
        <w:lastRenderedPageBreak/>
        <w:t>economic growth world-wide, is projected to produce more than double the demand for energy (to 30 TW) by 2050, and more than triple the demand (to 46 TW) by the end of the century. The reserves of fossil fuels that currently power society will fall short of this demand over the long term, and their continued use produces harmful side effects such as pollution that threatens human health and greenhouse gases associated with climate change. Alternative renewable fuels are at present far from competitive with fossil fuels in cost and production capacity. Without viable options for supplying double or triple today’s energy use, the world’s economic, technological, and political horizons will be severely limited.</w:t>
      </w:r>
    </w:p>
    <w:p w14:paraId="7BE70144" w14:textId="77777777" w:rsidR="001903D9" w:rsidRDefault="001903D9" w:rsidP="001903D9">
      <w:pPr>
        <w:shd w:val="clear" w:color="auto" w:fill="FFFFFF"/>
        <w:spacing w:line="480" w:lineRule="auto"/>
        <w:rPr>
          <w:rFonts w:ascii="Times New Roman" w:hAnsi="Times New Roman" w:cs="Times New Roman"/>
          <w:sz w:val="24"/>
          <w:szCs w:val="24"/>
        </w:rPr>
      </w:pPr>
      <w:r w:rsidRPr="00000478">
        <w:rPr>
          <w:rFonts w:ascii="Times New Roman" w:hAnsi="Times New Roman" w:cs="Times New Roman"/>
          <w:sz w:val="24"/>
          <w:szCs w:val="24"/>
        </w:rPr>
        <w:t>SOLAR ENERGY</w:t>
      </w:r>
      <w:r>
        <w:rPr>
          <w:rFonts w:ascii="Times New Roman" w:hAnsi="Times New Roman" w:cs="Times New Roman"/>
          <w:sz w:val="24"/>
          <w:szCs w:val="24"/>
        </w:rPr>
        <w:t xml:space="preserve">: </w:t>
      </w:r>
      <w:r w:rsidRPr="00000478">
        <w:rPr>
          <w:rFonts w:ascii="Times New Roman" w:hAnsi="Times New Roman" w:cs="Times New Roman"/>
          <w:sz w:val="24"/>
          <w:szCs w:val="24"/>
        </w:rPr>
        <w:t xml:space="preserve"> </w:t>
      </w:r>
    </w:p>
    <w:p w14:paraId="0A00FDAF" w14:textId="6F96BF2E" w:rsidR="001903D9" w:rsidRPr="001903D9" w:rsidRDefault="001903D9" w:rsidP="00000478">
      <w:pPr>
        <w:shd w:val="clear" w:color="auto" w:fill="FFFFFF"/>
        <w:spacing w:line="480" w:lineRule="auto"/>
        <w:rPr>
          <w:rFonts w:ascii="Times New Roman" w:hAnsi="Times New Roman" w:cs="Times New Roman"/>
          <w:sz w:val="24"/>
          <w:szCs w:val="24"/>
        </w:rPr>
      </w:pPr>
      <w:r w:rsidRPr="00000478">
        <w:rPr>
          <w:rFonts w:ascii="Times New Roman" w:hAnsi="Times New Roman" w:cs="Times New Roman"/>
          <w:sz w:val="24"/>
          <w:szCs w:val="24"/>
        </w:rPr>
        <w:t xml:space="preserve">Our primary source of clean, abundant energy is the sun. The sun deposits 120,000 TW of radiation on the surface of the Earth, far exceeding human needs even in the most aggressive energy demand scenarios. The sun is Earth’s natural power source, driving the circulation of global wind and ocean currents, the cycle of water evaporation and condensation that creates rivers and lakes, and the biological cycles of photosynthesis and life. Covering 0.16% of the land on Earth with 10% efficient solar conversion systems would provide 20 TW of power, nearly twice the world’s consumption rate of fossil energy and the equivalent 20,000 1-GWe nuclear fission plants. These comparisons illustrate the impressive magnitude of the solar resource, providing an energy stream far more potent than present-day human technology can achieve. All routes for utilizing solar energy exploit the functional steps of capture, conversion, and storage. The sun’s energy arrives on Earth as radiation distributed across the color spectrum from infrared to ultraviolet. The energy of this radiation must be captured as excited electron hole pairs in a semiconductor, a dye, or a chromophore, or as heat in a thermal storage medium. Excited </w:t>
      </w:r>
      <w:r w:rsidRPr="00000478">
        <w:rPr>
          <w:rFonts w:ascii="Times New Roman" w:hAnsi="Times New Roman" w:cs="Times New Roman"/>
          <w:sz w:val="24"/>
          <w:szCs w:val="24"/>
        </w:rPr>
        <w:lastRenderedPageBreak/>
        <w:t xml:space="preserve">electrons and holes can be tapped off for immediate conversion to electrical power, or transferred to biological or chemical molecules for conversion to fuel. </w:t>
      </w:r>
    </w:p>
    <w:p w14:paraId="3FD20CEC" w14:textId="01F97FC7" w:rsidR="00BD1100" w:rsidRPr="001903D9" w:rsidRDefault="000047FB" w:rsidP="00000478">
      <w:pPr>
        <w:shd w:val="clear" w:color="auto" w:fill="FFFFFF"/>
        <w:spacing w:line="480" w:lineRule="auto"/>
        <w:rPr>
          <w:rFonts w:ascii="Times New Roman" w:eastAsia="Times New Roman" w:hAnsi="Times New Roman" w:cs="Times New Roman"/>
          <w:color w:val="001D35"/>
          <w:kern w:val="0"/>
          <w:sz w:val="32"/>
          <w:szCs w:val="32"/>
          <w14:ligatures w14:val="none"/>
        </w:rPr>
      </w:pPr>
      <w:r w:rsidRPr="001903D9">
        <w:rPr>
          <w:rFonts w:ascii="Times New Roman" w:eastAsia="Times New Roman" w:hAnsi="Times New Roman" w:cs="Times New Roman"/>
          <w:color w:val="001D35"/>
          <w:kern w:val="0"/>
          <w:sz w:val="32"/>
          <w:szCs w:val="32"/>
          <w14:ligatures w14:val="none"/>
        </w:rPr>
        <w:t>Work/characteristics of the dye</w:t>
      </w:r>
      <w:r w:rsidR="00BD1100" w:rsidRPr="001903D9">
        <w:rPr>
          <w:rFonts w:ascii="Times New Roman" w:eastAsia="Times New Roman" w:hAnsi="Times New Roman" w:cs="Times New Roman"/>
          <w:color w:val="001D35"/>
          <w:kern w:val="0"/>
          <w:sz w:val="32"/>
          <w:szCs w:val="32"/>
          <w14:ligatures w14:val="none"/>
        </w:rPr>
        <w:t>:</w:t>
      </w:r>
    </w:p>
    <w:p w14:paraId="78468D93" w14:textId="77777777" w:rsidR="00BD1100" w:rsidRPr="00000478" w:rsidRDefault="00BD1100" w:rsidP="00000478">
      <w:pPr>
        <w:shd w:val="clear" w:color="auto" w:fill="FFFFFF"/>
        <w:spacing w:after="150" w:line="480" w:lineRule="auto"/>
        <w:rPr>
          <w:rFonts w:ascii="Times New Roman" w:eastAsia="Times New Roman" w:hAnsi="Times New Roman" w:cs="Times New Roman"/>
          <w:kern w:val="0"/>
          <w:sz w:val="24"/>
          <w:szCs w:val="24"/>
          <w14:ligatures w14:val="none"/>
        </w:rPr>
      </w:pPr>
      <w:r w:rsidRPr="00000478">
        <w:rPr>
          <w:rFonts w:ascii="Times New Roman" w:eastAsia="Times New Roman" w:hAnsi="Times New Roman" w:cs="Times New Roman"/>
          <w:color w:val="001D35"/>
          <w:kern w:val="0"/>
          <w:sz w:val="24"/>
          <w:szCs w:val="24"/>
          <w14:ligatures w14:val="none"/>
        </w:rPr>
        <w:t>1. Light Absorption and Excitation:</w:t>
      </w:r>
    </w:p>
    <w:p w14:paraId="45B24A6C" w14:textId="1E6FB3DC" w:rsidR="00BD1100" w:rsidRPr="00000478" w:rsidRDefault="00BD1100" w:rsidP="00000478">
      <w:pPr>
        <w:pStyle w:val="ListParagraph"/>
        <w:numPr>
          <w:ilvl w:val="0"/>
          <w:numId w:val="1"/>
        </w:numPr>
        <w:shd w:val="clear" w:color="auto" w:fill="FFFFFF"/>
        <w:spacing w:after="120" w:line="480" w:lineRule="auto"/>
        <w:rPr>
          <w:rFonts w:ascii="Times New Roman" w:eastAsia="Times New Roman" w:hAnsi="Times New Roman" w:cs="Times New Roman"/>
          <w:kern w:val="0"/>
          <w:sz w:val="24"/>
          <w:szCs w:val="24"/>
          <w14:ligatures w14:val="none"/>
        </w:rPr>
      </w:pPr>
      <w:r w:rsidRPr="00000478">
        <w:rPr>
          <w:rFonts w:ascii="Times New Roman" w:eastAsia="Times New Roman" w:hAnsi="Times New Roman" w:cs="Times New Roman"/>
          <w:color w:val="001D35"/>
          <w:kern w:val="0"/>
          <w:sz w:val="24"/>
          <w:szCs w:val="24"/>
          <w14:ligatures w14:val="none"/>
        </w:rPr>
        <w:t>Local dyes, often natural or synthetic, are chosen for their ability to absorb specific wavelengths of light within the solar spectrum. </w:t>
      </w:r>
    </w:p>
    <w:p w14:paraId="63DDDB30" w14:textId="77777777" w:rsidR="00BD1100" w:rsidRPr="00000478" w:rsidRDefault="00BD1100" w:rsidP="00000478">
      <w:pPr>
        <w:numPr>
          <w:ilvl w:val="0"/>
          <w:numId w:val="1"/>
        </w:numPr>
        <w:shd w:val="clear" w:color="auto" w:fill="FFFFFF"/>
        <w:spacing w:after="0" w:line="480" w:lineRule="auto"/>
        <w:rPr>
          <w:rFonts w:ascii="Times New Roman" w:eastAsia="Times New Roman" w:hAnsi="Times New Roman" w:cs="Times New Roman"/>
          <w:color w:val="001D35"/>
          <w:kern w:val="0"/>
          <w:sz w:val="24"/>
          <w:szCs w:val="24"/>
          <w14:ligatures w14:val="none"/>
        </w:rPr>
      </w:pPr>
      <w:r w:rsidRPr="00000478">
        <w:rPr>
          <w:rFonts w:ascii="Times New Roman" w:eastAsia="Times New Roman" w:hAnsi="Times New Roman" w:cs="Times New Roman"/>
          <w:color w:val="001D35"/>
          <w:kern w:val="0"/>
          <w:sz w:val="24"/>
          <w:szCs w:val="24"/>
          <w14:ligatures w14:val="none"/>
        </w:rPr>
        <w:t>Upon absorbing a photon, the dye molecule becomes excited, and an electron is promoted to a higher energy level. </w:t>
      </w:r>
    </w:p>
    <w:p w14:paraId="512EA4FE" w14:textId="77777777" w:rsidR="00BD1100" w:rsidRPr="00000478" w:rsidRDefault="00BD1100" w:rsidP="00000478">
      <w:pPr>
        <w:shd w:val="clear" w:color="auto" w:fill="FFFFFF"/>
        <w:spacing w:after="150" w:line="480" w:lineRule="auto"/>
        <w:rPr>
          <w:rFonts w:ascii="Times New Roman" w:eastAsia="Times New Roman" w:hAnsi="Times New Roman" w:cs="Times New Roman"/>
          <w:kern w:val="0"/>
          <w:sz w:val="24"/>
          <w:szCs w:val="24"/>
          <w14:ligatures w14:val="none"/>
        </w:rPr>
      </w:pPr>
      <w:r w:rsidRPr="00000478">
        <w:rPr>
          <w:rFonts w:ascii="Times New Roman" w:eastAsia="Times New Roman" w:hAnsi="Times New Roman" w:cs="Times New Roman"/>
          <w:color w:val="001D35"/>
          <w:kern w:val="0"/>
          <w:sz w:val="24"/>
          <w:szCs w:val="24"/>
          <w14:ligatures w14:val="none"/>
        </w:rPr>
        <w:t>2. Electron Transfer:</w:t>
      </w:r>
    </w:p>
    <w:p w14:paraId="057C74FA" w14:textId="4D11F915" w:rsidR="00BD1100" w:rsidRPr="00000478" w:rsidRDefault="00BD1100" w:rsidP="00000478">
      <w:pPr>
        <w:pStyle w:val="ListParagraph"/>
        <w:numPr>
          <w:ilvl w:val="0"/>
          <w:numId w:val="2"/>
        </w:numPr>
        <w:shd w:val="clear" w:color="auto" w:fill="FFFFFF"/>
        <w:spacing w:after="120" w:line="480" w:lineRule="auto"/>
        <w:rPr>
          <w:rFonts w:ascii="Times New Roman" w:eastAsia="Times New Roman" w:hAnsi="Times New Roman" w:cs="Times New Roman"/>
          <w:color w:val="001D35"/>
          <w:kern w:val="0"/>
          <w:sz w:val="24"/>
          <w:szCs w:val="24"/>
          <w14:ligatures w14:val="none"/>
        </w:rPr>
      </w:pPr>
      <w:r w:rsidRPr="00000478">
        <w:rPr>
          <w:rFonts w:ascii="Times New Roman" w:eastAsia="Times New Roman" w:hAnsi="Times New Roman" w:cs="Times New Roman"/>
          <w:color w:val="001D35"/>
          <w:kern w:val="0"/>
          <w:sz w:val="24"/>
          <w:szCs w:val="24"/>
          <w14:ligatures w14:val="none"/>
        </w:rPr>
        <w:t>The excited dye molecule then rapidly transfers an electron to the semiconductor material (e.g., TiO2) through a process called electron injection.</w:t>
      </w:r>
    </w:p>
    <w:p w14:paraId="12A03FFD" w14:textId="77777777" w:rsidR="00BD1100" w:rsidRPr="00000478" w:rsidRDefault="00BD1100" w:rsidP="00000478">
      <w:pPr>
        <w:numPr>
          <w:ilvl w:val="0"/>
          <w:numId w:val="2"/>
        </w:numPr>
        <w:shd w:val="clear" w:color="auto" w:fill="FFFFFF"/>
        <w:spacing w:after="0" w:line="480" w:lineRule="auto"/>
        <w:rPr>
          <w:rFonts w:ascii="Times New Roman" w:eastAsia="Times New Roman" w:hAnsi="Times New Roman" w:cs="Times New Roman"/>
          <w:kern w:val="0"/>
          <w:sz w:val="24"/>
          <w:szCs w:val="24"/>
          <w14:ligatures w14:val="none"/>
        </w:rPr>
      </w:pPr>
      <w:r w:rsidRPr="00000478">
        <w:rPr>
          <w:rFonts w:ascii="Times New Roman" w:eastAsia="Times New Roman" w:hAnsi="Times New Roman" w:cs="Times New Roman"/>
          <w:color w:val="001D35"/>
          <w:kern w:val="0"/>
          <w:sz w:val="24"/>
          <w:szCs w:val="24"/>
          <w14:ligatures w14:val="none"/>
        </w:rPr>
        <w:t>This electron transfer generates a photocurrent, which can be used to power a circuit. </w:t>
      </w:r>
    </w:p>
    <w:p w14:paraId="28C383FC" w14:textId="77777777" w:rsidR="00BD1100" w:rsidRPr="00000478" w:rsidRDefault="00BD1100" w:rsidP="00000478">
      <w:pPr>
        <w:shd w:val="clear" w:color="auto" w:fill="FFFFFF"/>
        <w:spacing w:after="150" w:line="480" w:lineRule="auto"/>
        <w:rPr>
          <w:rFonts w:ascii="Times New Roman" w:eastAsia="Times New Roman" w:hAnsi="Times New Roman" w:cs="Times New Roman"/>
          <w:kern w:val="0"/>
          <w:sz w:val="24"/>
          <w:szCs w:val="24"/>
          <w14:ligatures w14:val="none"/>
        </w:rPr>
      </w:pPr>
      <w:r w:rsidRPr="00000478">
        <w:rPr>
          <w:rFonts w:ascii="Times New Roman" w:eastAsia="Times New Roman" w:hAnsi="Times New Roman" w:cs="Times New Roman"/>
          <w:color w:val="001D35"/>
          <w:kern w:val="0"/>
          <w:sz w:val="24"/>
          <w:szCs w:val="24"/>
          <w14:ligatures w14:val="none"/>
        </w:rPr>
        <w:t>3. Enhancing Light Harvesting:</w:t>
      </w:r>
    </w:p>
    <w:p w14:paraId="6FAB216D" w14:textId="2C1C9BF7" w:rsidR="00BD1100" w:rsidRPr="00000478" w:rsidRDefault="00BD1100" w:rsidP="00000478">
      <w:pPr>
        <w:pStyle w:val="ListParagraph"/>
        <w:numPr>
          <w:ilvl w:val="0"/>
          <w:numId w:val="3"/>
        </w:numPr>
        <w:shd w:val="clear" w:color="auto" w:fill="FFFFFF"/>
        <w:spacing w:after="120" w:line="480" w:lineRule="auto"/>
        <w:rPr>
          <w:rFonts w:ascii="Times New Roman" w:eastAsia="Times New Roman" w:hAnsi="Times New Roman" w:cs="Times New Roman"/>
          <w:kern w:val="0"/>
          <w:sz w:val="24"/>
          <w:szCs w:val="24"/>
          <w14:ligatures w14:val="none"/>
        </w:rPr>
      </w:pPr>
      <w:r w:rsidRPr="00000478">
        <w:rPr>
          <w:rFonts w:ascii="Times New Roman" w:eastAsia="Times New Roman" w:hAnsi="Times New Roman" w:cs="Times New Roman"/>
          <w:color w:val="001D35"/>
          <w:kern w:val="0"/>
          <w:sz w:val="24"/>
          <w:szCs w:val="24"/>
          <w14:ligatures w14:val="none"/>
        </w:rPr>
        <w:t>By carefully selecting dyes with appropriate absorption spectra and electron injection capabilities, the overall efficiency of the DSSC can be significantly enhanced. </w:t>
      </w:r>
    </w:p>
    <w:p w14:paraId="132E4C5C" w14:textId="77777777" w:rsidR="00BD1100" w:rsidRPr="00000478" w:rsidRDefault="00BD1100" w:rsidP="00000478">
      <w:pPr>
        <w:numPr>
          <w:ilvl w:val="0"/>
          <w:numId w:val="3"/>
        </w:numPr>
        <w:shd w:val="clear" w:color="auto" w:fill="FFFFFF"/>
        <w:spacing w:after="0" w:line="480" w:lineRule="auto"/>
        <w:rPr>
          <w:rFonts w:ascii="Times New Roman" w:eastAsia="Times New Roman" w:hAnsi="Times New Roman" w:cs="Times New Roman"/>
          <w:color w:val="001D35"/>
          <w:kern w:val="0"/>
          <w:sz w:val="24"/>
          <w:szCs w:val="24"/>
          <w14:ligatures w14:val="none"/>
        </w:rPr>
      </w:pPr>
      <w:r w:rsidRPr="00000478">
        <w:rPr>
          <w:rFonts w:ascii="Times New Roman" w:eastAsia="Times New Roman" w:hAnsi="Times New Roman" w:cs="Times New Roman"/>
          <w:color w:val="001D35"/>
          <w:kern w:val="0"/>
          <w:sz w:val="24"/>
          <w:szCs w:val="24"/>
          <w14:ligatures w14:val="none"/>
        </w:rPr>
        <w:t>Natural dyes, for instance, offer a sustainable and eco-friendly alternative to synthetic dyes, potentially reducing the environmental impact of DSSC production. </w:t>
      </w:r>
    </w:p>
    <w:p w14:paraId="77FBA261" w14:textId="1C02C850" w:rsidR="00C44F8B" w:rsidRPr="008B618D" w:rsidRDefault="00BD1100" w:rsidP="008B618D">
      <w:pPr>
        <w:shd w:val="clear" w:color="auto" w:fill="FFFFFF"/>
        <w:spacing w:after="150" w:line="480" w:lineRule="auto"/>
        <w:rPr>
          <w:rFonts w:ascii="Times New Roman" w:eastAsia="Times New Roman" w:hAnsi="Times New Roman" w:cs="Times New Roman"/>
          <w:kern w:val="0"/>
          <w:sz w:val="24"/>
          <w:szCs w:val="24"/>
          <w14:ligatures w14:val="none"/>
        </w:rPr>
      </w:pPr>
      <w:r w:rsidRPr="00000478">
        <w:rPr>
          <w:rFonts w:ascii="Times New Roman" w:eastAsia="Times New Roman" w:hAnsi="Times New Roman" w:cs="Times New Roman"/>
          <w:color w:val="001D35"/>
          <w:kern w:val="0"/>
          <w:sz w:val="24"/>
          <w:szCs w:val="24"/>
          <w14:ligatures w14:val="none"/>
        </w:rPr>
        <w:t xml:space="preserve">4. Role of </w:t>
      </w:r>
      <w:proofErr w:type="spellStart"/>
      <w:r w:rsidRPr="00000478">
        <w:rPr>
          <w:rFonts w:ascii="Times New Roman" w:eastAsia="Times New Roman" w:hAnsi="Times New Roman" w:cs="Times New Roman"/>
          <w:color w:val="001D35"/>
          <w:kern w:val="0"/>
          <w:sz w:val="24"/>
          <w:szCs w:val="24"/>
          <w14:ligatures w14:val="none"/>
        </w:rPr>
        <w:t>Stannates</w:t>
      </w:r>
      <w:proofErr w:type="spellEnd"/>
      <w:r w:rsidRPr="00000478">
        <w:rPr>
          <w:rFonts w:ascii="Times New Roman" w:eastAsia="Times New Roman" w:hAnsi="Times New Roman" w:cs="Times New Roman"/>
          <w:color w:val="001D35"/>
          <w:kern w:val="0"/>
          <w:sz w:val="24"/>
          <w:szCs w:val="24"/>
          <w14:ligatures w14:val="none"/>
        </w:rPr>
        <w:t xml:space="preserve"> and Titanates:</w:t>
      </w:r>
    </w:p>
    <w:p w14:paraId="54A3361B" w14:textId="5304BE0C" w:rsidR="00BD1100" w:rsidRPr="00000478" w:rsidRDefault="00BD1100" w:rsidP="00000478">
      <w:pPr>
        <w:pStyle w:val="ListParagraph"/>
        <w:numPr>
          <w:ilvl w:val="0"/>
          <w:numId w:val="4"/>
        </w:numPr>
        <w:shd w:val="clear" w:color="auto" w:fill="FFFFFF"/>
        <w:spacing w:after="120" w:line="480" w:lineRule="auto"/>
        <w:rPr>
          <w:rFonts w:ascii="Times New Roman" w:eastAsia="Times New Roman" w:hAnsi="Times New Roman" w:cs="Times New Roman"/>
          <w:kern w:val="0"/>
          <w:sz w:val="24"/>
          <w:szCs w:val="24"/>
          <w14:ligatures w14:val="none"/>
        </w:rPr>
      </w:pPr>
      <w:proofErr w:type="spellStart"/>
      <w:r w:rsidRPr="00000478">
        <w:rPr>
          <w:rFonts w:ascii="Times New Roman" w:eastAsia="Times New Roman" w:hAnsi="Times New Roman" w:cs="Times New Roman"/>
          <w:color w:val="001D35"/>
          <w:kern w:val="0"/>
          <w:sz w:val="24"/>
          <w:szCs w:val="24"/>
          <w14:ligatures w14:val="none"/>
        </w:rPr>
        <w:t>Stannates</w:t>
      </w:r>
      <w:proofErr w:type="spellEnd"/>
      <w:r w:rsidRPr="00000478">
        <w:rPr>
          <w:rFonts w:ascii="Times New Roman" w:eastAsia="Times New Roman" w:hAnsi="Times New Roman" w:cs="Times New Roman"/>
          <w:color w:val="001D35"/>
          <w:kern w:val="0"/>
          <w:sz w:val="24"/>
          <w:szCs w:val="24"/>
          <w14:ligatures w14:val="none"/>
        </w:rPr>
        <w:t xml:space="preserve"> and titanates, such as TiO2, provide a porous surface for dye adsorption and act as the conductive material for electron transport. </w:t>
      </w:r>
    </w:p>
    <w:p w14:paraId="145F7A0F" w14:textId="77777777" w:rsidR="00BD1100" w:rsidRPr="00000478" w:rsidRDefault="00BD1100" w:rsidP="00000478">
      <w:pPr>
        <w:numPr>
          <w:ilvl w:val="0"/>
          <w:numId w:val="4"/>
        </w:numPr>
        <w:shd w:val="clear" w:color="auto" w:fill="FFFFFF"/>
        <w:spacing w:after="120" w:line="480" w:lineRule="auto"/>
        <w:rPr>
          <w:rFonts w:ascii="Times New Roman" w:eastAsia="Times New Roman" w:hAnsi="Times New Roman" w:cs="Times New Roman"/>
          <w:color w:val="001D35"/>
          <w:kern w:val="0"/>
          <w:sz w:val="24"/>
          <w:szCs w:val="24"/>
          <w14:ligatures w14:val="none"/>
        </w:rPr>
      </w:pPr>
      <w:r w:rsidRPr="00000478">
        <w:rPr>
          <w:rFonts w:ascii="Times New Roman" w:eastAsia="Times New Roman" w:hAnsi="Times New Roman" w:cs="Times New Roman"/>
          <w:color w:val="001D35"/>
          <w:kern w:val="0"/>
          <w:sz w:val="24"/>
          <w:szCs w:val="24"/>
          <w14:ligatures w14:val="none"/>
        </w:rPr>
        <w:lastRenderedPageBreak/>
        <w:t>Their nanostructured surfaces increase the surface area available for dye adsorption, enhancing light capture. </w:t>
      </w:r>
    </w:p>
    <w:p w14:paraId="2DDA5988" w14:textId="77777777" w:rsidR="00BD1100" w:rsidRDefault="00BD1100" w:rsidP="00000478">
      <w:pPr>
        <w:numPr>
          <w:ilvl w:val="0"/>
          <w:numId w:val="4"/>
        </w:numPr>
        <w:shd w:val="clear" w:color="auto" w:fill="FFFFFF"/>
        <w:spacing w:after="0" w:line="480" w:lineRule="auto"/>
        <w:rPr>
          <w:rFonts w:ascii="Times New Roman" w:eastAsia="Times New Roman" w:hAnsi="Times New Roman" w:cs="Times New Roman"/>
          <w:color w:val="001D35"/>
          <w:kern w:val="0"/>
          <w:sz w:val="24"/>
          <w:szCs w:val="24"/>
          <w14:ligatures w14:val="none"/>
        </w:rPr>
      </w:pPr>
      <w:r w:rsidRPr="00000478">
        <w:rPr>
          <w:rFonts w:ascii="Times New Roman" w:eastAsia="Times New Roman" w:hAnsi="Times New Roman" w:cs="Times New Roman"/>
          <w:color w:val="001D35"/>
          <w:kern w:val="0"/>
          <w:sz w:val="24"/>
          <w:szCs w:val="24"/>
          <w14:ligatures w14:val="none"/>
        </w:rPr>
        <w:t>The semiconductor properties of these materials facilitate efficient electron transfer, contributing to the overall efficiency of the DSSC. </w:t>
      </w:r>
    </w:p>
    <w:p w14:paraId="5A02ED40" w14:textId="77777777" w:rsidR="00824845" w:rsidRPr="00000478" w:rsidRDefault="00824845" w:rsidP="00824845">
      <w:pPr>
        <w:shd w:val="clear" w:color="auto" w:fill="FFFFFF"/>
        <w:spacing w:after="0" w:line="480" w:lineRule="auto"/>
        <w:ind w:left="360"/>
        <w:rPr>
          <w:rFonts w:ascii="Times New Roman" w:eastAsia="Times New Roman" w:hAnsi="Times New Roman" w:cs="Times New Roman"/>
          <w:color w:val="001D35"/>
          <w:kern w:val="0"/>
          <w:sz w:val="24"/>
          <w:szCs w:val="24"/>
          <w14:ligatures w14:val="none"/>
        </w:rPr>
      </w:pPr>
    </w:p>
    <w:p w14:paraId="35B12EF5" w14:textId="09FD005C" w:rsidR="001903D9" w:rsidRDefault="00C44F8B" w:rsidP="00000478">
      <w:pPr>
        <w:shd w:val="clear" w:color="auto" w:fill="FFFFFF"/>
        <w:spacing w:after="150" w:line="480" w:lineRule="auto"/>
        <w:rPr>
          <w:rFonts w:ascii="Times New Roman" w:hAnsi="Times New Roman" w:cs="Times New Roman"/>
          <w:sz w:val="24"/>
          <w:szCs w:val="24"/>
        </w:rPr>
      </w:pPr>
      <w:r w:rsidRPr="001903D9">
        <w:rPr>
          <w:rFonts w:ascii="Times New Roman" w:hAnsi="Times New Roman" w:cs="Times New Roman"/>
          <w:sz w:val="32"/>
          <w:szCs w:val="32"/>
        </w:rPr>
        <w:t>Different types of dyes</w:t>
      </w:r>
      <w:r w:rsidR="001903D9">
        <w:rPr>
          <w:rFonts w:ascii="Times New Roman" w:hAnsi="Times New Roman" w:cs="Times New Roman"/>
          <w:sz w:val="24"/>
          <w:szCs w:val="24"/>
        </w:rPr>
        <w:t>:</w:t>
      </w:r>
    </w:p>
    <w:p w14:paraId="51B7A7AC" w14:textId="14ECB8AF" w:rsidR="00070342" w:rsidRDefault="00070342" w:rsidP="00070342">
      <w:pPr>
        <w:shd w:val="clear" w:color="auto" w:fill="FFFFFF"/>
        <w:spacing w:after="150" w:line="480" w:lineRule="auto"/>
        <w:rPr>
          <w:rFonts w:ascii="Times New Roman" w:hAnsi="Times New Roman" w:cs="Times New Roman"/>
          <w:sz w:val="24"/>
          <w:szCs w:val="24"/>
        </w:rPr>
      </w:pPr>
      <w:r>
        <w:rPr>
          <w:rFonts w:ascii="Times New Roman" w:hAnsi="Times New Roman" w:cs="Times New Roman"/>
          <w:sz w:val="28"/>
          <w:szCs w:val="28"/>
        </w:rPr>
        <w:t xml:space="preserve">1. </w:t>
      </w:r>
      <w:r w:rsidRPr="001903D9">
        <w:rPr>
          <w:rFonts w:ascii="Times New Roman" w:hAnsi="Times New Roman" w:cs="Times New Roman"/>
          <w:sz w:val="28"/>
          <w:szCs w:val="28"/>
        </w:rPr>
        <w:t>Natural Dye</w:t>
      </w:r>
    </w:p>
    <w:p w14:paraId="1D2A0AC9" w14:textId="129C6573" w:rsidR="00070342" w:rsidRDefault="00070342" w:rsidP="00070342">
      <w:pPr>
        <w:shd w:val="clear" w:color="auto" w:fill="FFFFFF"/>
        <w:spacing w:after="150" w:line="480" w:lineRule="auto"/>
        <w:rPr>
          <w:rFonts w:ascii="Times New Roman" w:hAnsi="Times New Roman" w:cs="Times New Roman"/>
          <w:sz w:val="24"/>
          <w:szCs w:val="24"/>
        </w:rPr>
      </w:pPr>
      <w:r>
        <w:rPr>
          <w:rFonts w:ascii="Times New Roman" w:hAnsi="Times New Roman" w:cs="Times New Roman"/>
          <w:sz w:val="28"/>
          <w:szCs w:val="28"/>
        </w:rPr>
        <w:t xml:space="preserve">2. </w:t>
      </w:r>
      <w:r w:rsidRPr="001903D9">
        <w:rPr>
          <w:rFonts w:ascii="Times New Roman" w:hAnsi="Times New Roman" w:cs="Times New Roman"/>
          <w:sz w:val="28"/>
          <w:szCs w:val="28"/>
        </w:rPr>
        <w:t>Synthetic Dye</w:t>
      </w:r>
    </w:p>
    <w:p w14:paraId="5F21D4DA" w14:textId="573348C7" w:rsidR="001903D9" w:rsidRDefault="00070342"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Natural dyes have become a viable alternative to expensive and rare organic sensitizers because of their low cost, easy attainability and abundance in supply in the environment (Adedokun, et al., 2016). Various components of a plant such as the flower petals, leaves and bark have been tested as sensitizers. The nature of these pigments together with other parameters has resulted in varying performances. In order to be familiar with dye-stuff in the DSSC a concise overview will be summarized about different type of dye-stuff, its role in DSSC, relations with </w:t>
      </w:r>
      <w:proofErr w:type="spellStart"/>
      <w:r w:rsidRPr="00000478">
        <w:rPr>
          <w:rFonts w:ascii="Times New Roman" w:hAnsi="Times New Roman" w:cs="Times New Roman"/>
          <w:sz w:val="24"/>
          <w:szCs w:val="24"/>
        </w:rPr>
        <w:t>colours</w:t>
      </w:r>
      <w:proofErr w:type="spellEnd"/>
      <w:r w:rsidRPr="00000478">
        <w:rPr>
          <w:rFonts w:ascii="Times New Roman" w:hAnsi="Times New Roman" w:cs="Times New Roman"/>
          <w:sz w:val="24"/>
          <w:szCs w:val="24"/>
        </w:rPr>
        <w:t xml:space="preserve"> and lights, classification according to application and structure. Therefore, the objective of this paper is to provide a brief review of the use of dyestuff for the enhancement of dye sensitive solar cell efficiency. Classification of dyes: There are several ways for classifying dyes. It should be noted that each class of dye has a very unique chemical structure and particular way of bonding. While some dyes can react chemically with the substrates forming strong bonds in the process, others can be held by physical forces. One of the prominent ways of several classifications which is more effective to our application is chemical classification, based on the nature of chemical structure.</w:t>
      </w:r>
      <w:bookmarkStart w:id="2" w:name="_Hlk198023530"/>
      <w:r w:rsidR="001701C7">
        <w:rPr>
          <w:rFonts w:ascii="Times New Roman" w:hAnsi="Times New Roman" w:cs="Times New Roman"/>
          <w:sz w:val="24"/>
          <w:szCs w:val="24"/>
        </w:rPr>
        <w:t xml:space="preserve"> </w:t>
      </w:r>
      <w:r w:rsidR="00C44F8B" w:rsidRPr="00070342">
        <w:rPr>
          <w:rFonts w:ascii="Times New Roman" w:hAnsi="Times New Roman" w:cs="Times New Roman"/>
          <w:sz w:val="24"/>
          <w:szCs w:val="24"/>
        </w:rPr>
        <w:t>Natural Dye:</w:t>
      </w:r>
      <w:r w:rsidR="00C44F8B" w:rsidRPr="00000478">
        <w:rPr>
          <w:rFonts w:ascii="Times New Roman" w:hAnsi="Times New Roman" w:cs="Times New Roman"/>
          <w:sz w:val="24"/>
          <w:szCs w:val="24"/>
        </w:rPr>
        <w:t xml:space="preserve"> These are simply dye substances extracted from natural sources </w:t>
      </w:r>
    </w:p>
    <w:p w14:paraId="1DD32996" w14:textId="3D5485AB" w:rsidR="001701C7" w:rsidRPr="00000478" w:rsidRDefault="00C44F8B" w:rsidP="00000478">
      <w:pPr>
        <w:shd w:val="clear" w:color="auto" w:fill="FFFFFF"/>
        <w:spacing w:after="150" w:line="480" w:lineRule="auto"/>
        <w:rPr>
          <w:rFonts w:ascii="Times New Roman" w:hAnsi="Times New Roman" w:cs="Times New Roman"/>
          <w:sz w:val="24"/>
          <w:szCs w:val="24"/>
        </w:rPr>
      </w:pPr>
      <w:r w:rsidRPr="00070342">
        <w:rPr>
          <w:rFonts w:ascii="Times New Roman" w:hAnsi="Times New Roman" w:cs="Times New Roman"/>
          <w:sz w:val="24"/>
          <w:szCs w:val="24"/>
        </w:rPr>
        <w:lastRenderedPageBreak/>
        <w:t>Synthetic Dye</w:t>
      </w:r>
      <w:bookmarkEnd w:id="2"/>
      <w:r w:rsidRPr="00000478">
        <w:rPr>
          <w:rFonts w:ascii="Times New Roman" w:hAnsi="Times New Roman" w:cs="Times New Roman"/>
          <w:sz w:val="24"/>
          <w:szCs w:val="24"/>
        </w:rPr>
        <w:t xml:space="preserve">: Dyes derived from organic or inorganic compounds are known as synthetic dyes. Examples are direct, acid, basic </w:t>
      </w:r>
      <w:proofErr w:type="spellStart"/>
      <w:r w:rsidRPr="00000478">
        <w:rPr>
          <w:rFonts w:ascii="Times New Roman" w:hAnsi="Times New Roman" w:cs="Times New Roman"/>
          <w:sz w:val="24"/>
          <w:szCs w:val="24"/>
        </w:rPr>
        <w:t>e.t.c</w:t>
      </w:r>
      <w:proofErr w:type="spellEnd"/>
      <w:r w:rsidRPr="00000478">
        <w:rPr>
          <w:rFonts w:ascii="Times New Roman" w:hAnsi="Times New Roman" w:cs="Times New Roman"/>
          <w:sz w:val="24"/>
          <w:szCs w:val="24"/>
        </w:rPr>
        <w:t xml:space="preserve">. </w:t>
      </w:r>
      <w:r w:rsidRPr="00000478">
        <w:rPr>
          <w:rFonts w:ascii="Times New Roman" w:hAnsi="Times New Roman" w:cs="Times New Roman"/>
          <w:sz w:val="24"/>
          <w:szCs w:val="24"/>
        </w:rPr>
        <w:sym w:font="Symbol" w:char="F0D8"/>
      </w:r>
      <w:r w:rsidRPr="00000478">
        <w:rPr>
          <w:rFonts w:ascii="Times New Roman" w:hAnsi="Times New Roman" w:cs="Times New Roman"/>
          <w:sz w:val="24"/>
          <w:szCs w:val="24"/>
        </w:rPr>
        <w:t xml:space="preserve">Azonic dye: Azo dyes contain at least one azo group (-N=N-) attached to one or often two aromatic rings. Others are: </w:t>
      </w:r>
      <w:r w:rsidRPr="00000478">
        <w:rPr>
          <w:rFonts w:ascii="Times New Roman" w:hAnsi="Times New Roman" w:cs="Times New Roman"/>
          <w:sz w:val="24"/>
          <w:szCs w:val="24"/>
        </w:rPr>
        <w:sym w:font="Symbol" w:char="F0D8"/>
      </w:r>
      <w:r w:rsidRPr="00000478">
        <w:rPr>
          <w:rFonts w:ascii="Times New Roman" w:hAnsi="Times New Roman" w:cs="Times New Roman"/>
          <w:sz w:val="24"/>
          <w:szCs w:val="24"/>
        </w:rPr>
        <w:t xml:space="preserve"> </w:t>
      </w:r>
      <w:r w:rsidRPr="00000478">
        <w:rPr>
          <w:rFonts w:ascii="Times New Roman" w:hAnsi="Times New Roman" w:cs="Times New Roman"/>
          <w:sz w:val="24"/>
          <w:szCs w:val="24"/>
        </w:rPr>
        <w:sym w:font="Symbol" w:char="F0D8"/>
      </w:r>
      <w:r w:rsidRPr="00000478">
        <w:rPr>
          <w:rFonts w:ascii="Times New Roman" w:hAnsi="Times New Roman" w:cs="Times New Roman"/>
          <w:sz w:val="24"/>
          <w:szCs w:val="24"/>
        </w:rPr>
        <w:t xml:space="preserve"> </w:t>
      </w:r>
      <w:r w:rsidRPr="00000478">
        <w:rPr>
          <w:rFonts w:ascii="Times New Roman" w:hAnsi="Times New Roman" w:cs="Times New Roman"/>
          <w:sz w:val="24"/>
          <w:szCs w:val="24"/>
        </w:rPr>
        <w:sym w:font="Symbol" w:char="F0D8"/>
      </w:r>
      <w:r w:rsidRPr="00000478">
        <w:rPr>
          <w:rFonts w:ascii="Times New Roman" w:hAnsi="Times New Roman" w:cs="Times New Roman"/>
          <w:sz w:val="24"/>
          <w:szCs w:val="24"/>
        </w:rPr>
        <w:t xml:space="preserve"> </w:t>
      </w:r>
      <w:r w:rsidRPr="00000478">
        <w:rPr>
          <w:rFonts w:ascii="Times New Roman" w:hAnsi="Times New Roman" w:cs="Times New Roman"/>
          <w:sz w:val="24"/>
          <w:szCs w:val="24"/>
        </w:rPr>
        <w:sym w:font="Symbol" w:char="F0D8"/>
      </w:r>
      <w:r w:rsidRPr="00000478">
        <w:rPr>
          <w:rFonts w:ascii="Times New Roman" w:hAnsi="Times New Roman" w:cs="Times New Roman"/>
          <w:sz w:val="24"/>
          <w:szCs w:val="24"/>
        </w:rPr>
        <w:t xml:space="preserve"> </w:t>
      </w:r>
      <w:r w:rsidRPr="00000478">
        <w:rPr>
          <w:rFonts w:ascii="Times New Roman" w:hAnsi="Times New Roman" w:cs="Times New Roman"/>
          <w:sz w:val="24"/>
          <w:szCs w:val="24"/>
        </w:rPr>
        <w:sym w:font="Symbol" w:char="F0D8"/>
      </w:r>
      <w:r w:rsidRPr="00000478">
        <w:rPr>
          <w:rFonts w:ascii="Times New Roman" w:hAnsi="Times New Roman" w:cs="Times New Roman"/>
          <w:sz w:val="24"/>
          <w:szCs w:val="24"/>
        </w:rPr>
        <w:t xml:space="preserve"> </w:t>
      </w:r>
      <w:r w:rsidRPr="00000478">
        <w:rPr>
          <w:rFonts w:ascii="Times New Roman" w:hAnsi="Times New Roman" w:cs="Times New Roman"/>
          <w:sz w:val="24"/>
          <w:szCs w:val="24"/>
        </w:rPr>
        <w:sym w:font="Symbol" w:char="F0D8"/>
      </w:r>
      <w:r w:rsidRPr="00000478">
        <w:rPr>
          <w:rFonts w:ascii="Times New Roman" w:hAnsi="Times New Roman" w:cs="Times New Roman"/>
          <w:sz w:val="24"/>
          <w:szCs w:val="24"/>
        </w:rPr>
        <w:t xml:space="preserve"> Nitro Dye Disperse Dye Vat Dye Mordant Dye Solvent Dye Sulfur Dye The setup of a dye-sensitized solar cell is shown in fig 1. Fig 1. Simplified Setup of a Dye-sensitized Solar Cell The anode of a DSSC consists of a glass plate which is coated with a transparent conductive oxide (TCO) film. Indium tin oxide (ITO) or fluorine doped tin oxide are most widely used. A thin layer of titanium dioxide (TiO2) is applied on the film. The semiconductor exhibits a high surface area because of its high porosity. The anode is soaked with a dye solution which bonds to the TiO2. The dye – also called photosensitizers – is mostly a ruthenium complex or various organic metal free compounds. For demonstration purposes, also plain fruit juice (such as from blackberries or pomegranates) can be used. They contain pigments which are also able to convert light energy into electrical energy. The cathode of a DSSC is a glass plate with a thin Pt film which serves as a catalyst. An iodide/triiodide solution is used as the electrolyte. Both electrodes are pressed together and sealed so that the cell does not leak. </w:t>
      </w:r>
    </w:p>
    <w:p w14:paraId="2B52F861" w14:textId="77777777" w:rsidR="000C5AD5" w:rsidRPr="00000478" w:rsidRDefault="000C5AD5" w:rsidP="00000478">
      <w:pPr>
        <w:shd w:val="clear" w:color="auto" w:fill="FFFFFF"/>
        <w:spacing w:after="150" w:line="480" w:lineRule="auto"/>
        <w:rPr>
          <w:rFonts w:ascii="Times New Roman" w:hAnsi="Times New Roman" w:cs="Times New Roman"/>
          <w:b/>
          <w:bCs/>
          <w:sz w:val="24"/>
          <w:szCs w:val="24"/>
        </w:rPr>
      </w:pPr>
      <w:r w:rsidRPr="00000478">
        <w:rPr>
          <w:rFonts w:ascii="Times New Roman" w:hAnsi="Times New Roman" w:cs="Times New Roman"/>
          <w:b/>
          <w:bCs/>
          <w:sz w:val="24"/>
          <w:szCs w:val="24"/>
        </w:rPr>
        <w:t xml:space="preserve">SOLAR ENERGY </w:t>
      </w:r>
    </w:p>
    <w:p w14:paraId="76D01873" w14:textId="3D52C4C1" w:rsidR="000C5AD5" w:rsidRPr="00000478" w:rsidRDefault="000C5AD5"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Our primary source of clean, abundant energy is the sun. The sun deposits 120,000 TW of radiation on the surface of the Earth, far exceeding human needs even in the most aggressive energy demand scenarios. The sun is Earth’s natural power source, driving the circulation of global wind and ocean currents, the cycle of water evaporation and condensation that creates rivers and lakes, and the biological cycles of photosynthesis and life. Covering 0.16% of the land on Earth with 10% efficient solar conversion systems would provide 20 TW of power, nearly twice the world’s consumption rate of fossil energy and the equivalent 20,000 1-GWe nuclear </w:t>
      </w:r>
      <w:r w:rsidRPr="00000478">
        <w:rPr>
          <w:rFonts w:ascii="Times New Roman" w:hAnsi="Times New Roman" w:cs="Times New Roman"/>
          <w:sz w:val="24"/>
          <w:szCs w:val="24"/>
        </w:rPr>
        <w:lastRenderedPageBreak/>
        <w:t xml:space="preserve">fission plants. These comparisons illustrate the impressive magnitude of the solar resource, providing an energy stream far more potent than present-day human technology can achieve. All routes for utilizing solar energy exploit the functional steps of capture, conversion, and storage. The sun’s energy arrives on Earth as radiation distributed across the color spectrum from infrared to ultraviolet. The energy of this radiation must be captured as excited electron hole pairs in a semiconductor, a dye, or a chromophore, or as heat in a thermal storage medium. Excited electrons and holes can be tapped off for immediate conversion to electrical power, or transferred to biological or chemical molecules for conversion to fuel. Natural photosynthesis produces fuel in the form of sugars and other carbohydrates derived from the reduction of CO2 in the atmosphere and used to power the growth of plants. The plants themselves become available 3 as biomass for combustion as primary fuels or for conversion in reactors to secondary fuels like liquid ethanol or gaseous carbon monoxide, methane, and hydrogen. We are now learning to mimic the natural photosynthetic process in the laboratory using artificial molecular assemblies, where the excited electrons and holes can drive chemical reactions to produce fuels that link to our existing energy networks. Atmospheric CO2 can be reduced to ethanol or methane, or water can be split to create hydrogen. These fuels are the storage media for solar energy, bridging the natural day-night, winter-summer, and cloudy-sunny cycles of solar radiation. In addition to electric and chemical conversion routes, solar radiation can be converted to heat energy. Solar concentrators focus sunlight collected over a large area to a line or spot where heat is collected in an absorber. Temperatures as high as 3,000°C can be generated to drive chemical reactions, or heat can be collected at lower temperatures and transferred to a thermal storage medium like water for distributed space heating or steam to drive an engine. Effective storage of solar energy as heat requires developing thermal storage media that accumulate heat efficiently during sunny </w:t>
      </w:r>
      <w:r w:rsidRPr="00000478">
        <w:rPr>
          <w:rFonts w:ascii="Times New Roman" w:hAnsi="Times New Roman" w:cs="Times New Roman"/>
          <w:sz w:val="24"/>
          <w:szCs w:val="24"/>
        </w:rPr>
        <w:lastRenderedPageBreak/>
        <w:t>periods and release heat slowly during dark or cloudy periods. Heat is one of the most versatile forms of energy, the common link in nearly all our energy networks. Solar thermal conversion can replace much of the heat now supplied by fossil fuel. Although many routes use solar energy to produce electricity, fuel, and heat, none are currently competitive with fossil fuels for a combination of cost, reliability, and performance. Solar electricity from photovoltaics is too costly, by factors of 5–10, to compete with fossil-derived electricity, and is too costly by factors of 25–50 to compete with fossil fuel as a primary energy source. Solar fuels in the form of biomass produce electricity and heat at costs that are within range of fossil fuels, but their production capacity is limited. The low efficiency with which they convert sunlight to stored energy means large land areas are required. To produce the full 13 TW of power used by the planet, nearly all the arable land on Earth would need to be planted with switchgrass, the fastest-growing energy crop. Artificial photosynthetic systems are promising routes for converting solar energy to fuels, but they are still in the laboratory stage where the principles of their assembly and functionality are being explored. Solar thermal systems provide the lowest-cost solar electricity at the present time, but require large areas in the Sun Belt and breakthroughs in materials to become economically competitive with fossil energy as a primary energy source. While solar energy has enormous promise as a clean, abundant, economical energy source, it presents formidable basic research challenges in designing materials and in understanding the electronic and molecular basis of capture, conversion, and storage before its promise can be realized.</w:t>
      </w:r>
    </w:p>
    <w:p w14:paraId="7AE7517C" w14:textId="77777777" w:rsidR="001701C7" w:rsidRDefault="00A7297A"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SOLAR ELECTRICITY</w:t>
      </w:r>
      <w:r w:rsidR="001701C7">
        <w:rPr>
          <w:rFonts w:ascii="Times New Roman" w:hAnsi="Times New Roman" w:cs="Times New Roman"/>
          <w:sz w:val="24"/>
          <w:szCs w:val="24"/>
        </w:rPr>
        <w:t xml:space="preserve"> </w:t>
      </w:r>
    </w:p>
    <w:p w14:paraId="5DDBF1BD" w14:textId="172DF07E" w:rsidR="00945606" w:rsidRPr="00000478" w:rsidRDefault="00A7297A"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Inorganic Photovoltaics</w:t>
      </w:r>
      <w:r w:rsidR="001701C7">
        <w:rPr>
          <w:rFonts w:ascii="Times New Roman" w:hAnsi="Times New Roman" w:cs="Times New Roman"/>
          <w:sz w:val="24"/>
          <w:szCs w:val="24"/>
        </w:rPr>
        <w:t xml:space="preserve"> </w:t>
      </w:r>
      <w:r w:rsidR="00945606" w:rsidRPr="00000478">
        <w:rPr>
          <w:rFonts w:ascii="Times New Roman" w:hAnsi="Times New Roman" w:cs="Times New Roman"/>
          <w:sz w:val="24"/>
          <w:szCs w:val="24"/>
        </w:rPr>
        <w:t xml:space="preserve">solar cells, defined as Generation I cells, have module efficiencies of about 10–12% — leading to module costs of about $3.50/Wp. In order to lower the areal cost, </w:t>
      </w:r>
      <w:r w:rsidR="00945606" w:rsidRPr="00000478">
        <w:rPr>
          <w:rFonts w:ascii="Times New Roman" w:hAnsi="Times New Roman" w:cs="Times New Roman"/>
          <w:sz w:val="24"/>
          <w:szCs w:val="24"/>
        </w:rPr>
        <w:lastRenderedPageBreak/>
        <w:t xml:space="preserve">Generation II approaches to PV systems involve the use of semiconductor thin films (amorphous Si, polycrystalline </w:t>
      </w:r>
      <w:proofErr w:type="spellStart"/>
      <w:r w:rsidR="00945606" w:rsidRPr="00000478">
        <w:rPr>
          <w:rFonts w:ascii="Times New Roman" w:hAnsi="Times New Roman" w:cs="Times New Roman"/>
          <w:sz w:val="24"/>
          <w:szCs w:val="24"/>
        </w:rPr>
        <w:t>CdTe</w:t>
      </w:r>
      <w:proofErr w:type="spellEnd"/>
      <w:r w:rsidR="00945606" w:rsidRPr="00000478">
        <w:rPr>
          <w:rFonts w:ascii="Times New Roman" w:hAnsi="Times New Roman" w:cs="Times New Roman"/>
          <w:sz w:val="24"/>
          <w:szCs w:val="24"/>
        </w:rPr>
        <w:t xml:space="preserve"> and CuInSe2, dye cells, and organic PV cells). However, the system cost will be limited by BOS costs, which means that the Generation II systems cannot have arbitrarily low efficiency even if the module costs are negligible. With low areal costs for both modules and BOS of $75/m2 each, 10% efficiency for Generation II modules (17% cell efficiency) would yield PV costs of $1.50/Wp ($0.075/kWh). Thus, unless the module and BOS costs can be reduced well beyond the aggressive target of $75/m2 each, achieving the goal of $0.40/Wp ($0.02/kWh) will require efficiency and system costs per unit area that lie in the Generation III area of Figure 2. A critical feature of Generation III PV systems is that their module efficiencies are above 32% — the thermodynamic limit calculated by Shockley and </w:t>
      </w:r>
      <w:proofErr w:type="spellStart"/>
      <w:r w:rsidR="00945606" w:rsidRPr="00000478">
        <w:rPr>
          <w:rFonts w:ascii="Times New Roman" w:hAnsi="Times New Roman" w:cs="Times New Roman"/>
          <w:sz w:val="24"/>
          <w:szCs w:val="24"/>
        </w:rPr>
        <w:t>Queisser</w:t>
      </w:r>
      <w:proofErr w:type="spellEnd"/>
      <w:r w:rsidR="00945606" w:rsidRPr="00000478">
        <w:rPr>
          <w:rFonts w:ascii="Times New Roman" w:hAnsi="Times New Roman" w:cs="Times New Roman"/>
          <w:sz w:val="24"/>
          <w:szCs w:val="24"/>
        </w:rPr>
        <w:t xml:space="preserve"> (1961). In the Shockley </w:t>
      </w:r>
      <w:proofErr w:type="spellStart"/>
      <w:r w:rsidR="00945606" w:rsidRPr="00000478">
        <w:rPr>
          <w:rFonts w:ascii="Times New Roman" w:hAnsi="Times New Roman" w:cs="Times New Roman"/>
          <w:sz w:val="24"/>
          <w:szCs w:val="24"/>
        </w:rPr>
        <w:t>Queisser</w:t>
      </w:r>
      <w:proofErr w:type="spellEnd"/>
      <w:r w:rsidR="00945606" w:rsidRPr="00000478">
        <w:rPr>
          <w:rFonts w:ascii="Times New Roman" w:hAnsi="Times New Roman" w:cs="Times New Roman"/>
          <w:sz w:val="24"/>
          <w:szCs w:val="24"/>
        </w:rPr>
        <w:t xml:space="preserve"> analysis, a major assumption is that electrons and holes created by absorption of photons with energies above the band gap lose their excess energy (the difference between the photon energy and the semiconductor band gap) as heat through excitation of the lattice vibrations (this is called phonon emission). However, thermodynamic calculations that do not make this assumption show that the thermodynamic efficiency limit can be above 65% if the energetic electrons and holes created by the high-energy photons do not convert the excess energy to heat but produce higher photovoltages or photocurrents (Green 2004; Ross and </w:t>
      </w:r>
      <w:proofErr w:type="spellStart"/>
      <w:r w:rsidR="00945606" w:rsidRPr="00000478">
        <w:rPr>
          <w:rFonts w:ascii="Times New Roman" w:hAnsi="Times New Roman" w:cs="Times New Roman"/>
          <w:sz w:val="24"/>
          <w:szCs w:val="24"/>
        </w:rPr>
        <w:t>Nozik</w:t>
      </w:r>
      <w:proofErr w:type="spellEnd"/>
      <w:r w:rsidR="00945606" w:rsidRPr="00000478">
        <w:rPr>
          <w:rFonts w:ascii="Times New Roman" w:hAnsi="Times New Roman" w:cs="Times New Roman"/>
          <w:sz w:val="24"/>
          <w:szCs w:val="24"/>
        </w:rPr>
        <w:t xml:space="preserve"> 1982; Marti and Luque 2004). Reaching the goals of ultra-high efficiencies and low cost will require basic research to achieve the revolutionary advances indicated in Figure 5. Another way to achieve efficiencies above the Shockley-</w:t>
      </w:r>
      <w:proofErr w:type="spellStart"/>
      <w:r w:rsidR="00945606" w:rsidRPr="00000478">
        <w:rPr>
          <w:rFonts w:ascii="Times New Roman" w:hAnsi="Times New Roman" w:cs="Times New Roman"/>
          <w:sz w:val="24"/>
          <w:szCs w:val="24"/>
        </w:rPr>
        <w:t>Queisser</w:t>
      </w:r>
      <w:proofErr w:type="spellEnd"/>
      <w:r w:rsidR="00945606" w:rsidRPr="00000478">
        <w:rPr>
          <w:rFonts w:ascii="Times New Roman" w:hAnsi="Times New Roman" w:cs="Times New Roman"/>
          <w:sz w:val="24"/>
          <w:szCs w:val="24"/>
        </w:rPr>
        <w:t xml:space="preserve"> limit is to use a series of semiconductor p-n junctions arranged in a tandem configuration (these cells are called multi junction solar cells). Of the approaches proposed to achieve higher efficiency, only multi junction solar cells have been able to actually exceed the performance of conventional single junction solar cells. Figure 6 </w:t>
      </w:r>
      <w:r w:rsidR="00945606" w:rsidRPr="00000478">
        <w:rPr>
          <w:rFonts w:ascii="Times New Roman" w:hAnsi="Times New Roman" w:cs="Times New Roman"/>
          <w:sz w:val="24"/>
          <w:szCs w:val="24"/>
        </w:rPr>
        <w:lastRenderedPageBreak/>
        <w:t>shows the current world-record efficiencies (as a function of the number of junctions) compared with the efficiency limit that is predicted by the thermodynamic analyses. At one sun, the single-junction efficiency is about 75% of the theoretical limit; the multi-junction and concentrator cells show even more opportunity for improvement. The thermodynamic limit for solar-energy conversion is significantly higher still: 66% at one sun and 86% at full solar concentration (46,200 suns). The achievement of even higher efficiencies and lower costs for multi-junction solar cells will require basic research to bring about the revolution in existing technology and change the slope of the learning curve,</w:t>
      </w:r>
    </w:p>
    <w:p w14:paraId="5EC1035F" w14:textId="6A96FA89" w:rsidR="00851AB3" w:rsidRPr="00000478" w:rsidRDefault="00851AB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EFFICIENT SOLAR CELLS</w:t>
      </w:r>
    </w:p>
    <w:p w14:paraId="555301DD" w14:textId="48EF106C" w:rsidR="00070342" w:rsidRDefault="00851AB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Mature energy conversion technologies typically operate close to their maximum thermodynamic efficiency. For solar energy conversion, this efficiency is between 66% and 87%, depending on the concentration and the spectrum. A grand challenge for photovoltaics is the development of high-efficiency, low-cost photovoltaic structures that can reach these ultimate thermodynamic efficiency limits. Existing photovoltaic devices, which are based primarily on single-junction silicon, have made dramatic improvements over the 50 years of their development, and these solar cells now achieve about three-quarters of the Shockley-</w:t>
      </w:r>
      <w:proofErr w:type="spellStart"/>
      <w:r w:rsidRPr="00000478">
        <w:rPr>
          <w:rFonts w:ascii="Times New Roman" w:hAnsi="Times New Roman" w:cs="Times New Roman"/>
          <w:sz w:val="24"/>
          <w:szCs w:val="24"/>
        </w:rPr>
        <w:t>Queisser</w:t>
      </w:r>
      <w:proofErr w:type="spellEnd"/>
      <w:r w:rsidRPr="00000478">
        <w:rPr>
          <w:rFonts w:ascii="Times New Roman" w:hAnsi="Times New Roman" w:cs="Times New Roman"/>
          <w:sz w:val="24"/>
          <w:szCs w:val="24"/>
        </w:rPr>
        <w:t xml:space="preserve"> efficiency limit of ~32%. Discovering new technologies, processes, and materials that allow photovoltaic devices to substantially exceed this efficiency while maintaining low cost are critical research goals for photovoltaics.</w:t>
      </w:r>
    </w:p>
    <w:p w14:paraId="71BC02F0" w14:textId="216E2422" w:rsidR="00851AB3" w:rsidRPr="00000478" w:rsidRDefault="00851AB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NANOSTRUCTURES </w:t>
      </w:r>
      <w:r w:rsidR="00070342">
        <w:rPr>
          <w:rFonts w:ascii="Times New Roman" w:hAnsi="Times New Roman" w:cs="Times New Roman"/>
          <w:sz w:val="24"/>
          <w:szCs w:val="24"/>
        </w:rPr>
        <w:t>(</w:t>
      </w:r>
      <w:proofErr w:type="spellStart"/>
      <w:r w:rsidR="00070342">
        <w:rPr>
          <w:rFonts w:ascii="Times New Roman" w:hAnsi="Times New Roman" w:cs="Times New Roman"/>
          <w:sz w:val="24"/>
          <w:szCs w:val="24"/>
        </w:rPr>
        <w:t>titannates</w:t>
      </w:r>
      <w:proofErr w:type="spellEnd"/>
      <w:r w:rsidR="00070342">
        <w:rPr>
          <w:rFonts w:ascii="Times New Roman" w:hAnsi="Times New Roman" w:cs="Times New Roman"/>
          <w:sz w:val="24"/>
          <w:szCs w:val="24"/>
        </w:rPr>
        <w:t xml:space="preserve"> and </w:t>
      </w:r>
      <w:proofErr w:type="spellStart"/>
      <w:r w:rsidR="00070342">
        <w:rPr>
          <w:rFonts w:ascii="Times New Roman" w:hAnsi="Times New Roman" w:cs="Times New Roman"/>
          <w:sz w:val="24"/>
          <w:szCs w:val="24"/>
        </w:rPr>
        <w:t>stannates</w:t>
      </w:r>
      <w:proofErr w:type="spellEnd"/>
      <w:r w:rsidR="00070342">
        <w:rPr>
          <w:rFonts w:ascii="Times New Roman" w:hAnsi="Times New Roman" w:cs="Times New Roman"/>
          <w:sz w:val="24"/>
          <w:szCs w:val="24"/>
        </w:rPr>
        <w:t xml:space="preserve">) </w:t>
      </w:r>
      <w:r w:rsidRPr="00000478">
        <w:rPr>
          <w:rFonts w:ascii="Times New Roman" w:hAnsi="Times New Roman" w:cs="Times New Roman"/>
          <w:sz w:val="24"/>
          <w:szCs w:val="24"/>
        </w:rPr>
        <w:t>FOR SOLAR ENERGY CONVERSION</w:t>
      </w:r>
    </w:p>
    <w:p w14:paraId="3D6E823E" w14:textId="335E9AF8" w:rsidR="00851AB3" w:rsidRPr="00000478" w:rsidRDefault="00070342" w:rsidP="00000478">
      <w:pPr>
        <w:shd w:val="clear" w:color="auto" w:fill="FFFFFF"/>
        <w:spacing w:after="150" w:line="480" w:lineRule="auto"/>
        <w:rPr>
          <w:rFonts w:ascii="Times New Roman" w:hAnsi="Times New Roman" w:cs="Times New Roman"/>
          <w:sz w:val="24"/>
          <w:szCs w:val="24"/>
        </w:rPr>
      </w:pPr>
      <w:r>
        <w:rPr>
          <w:rFonts w:ascii="Times New Roman" w:hAnsi="Times New Roman" w:cs="Times New Roman"/>
          <w:sz w:val="24"/>
          <w:szCs w:val="24"/>
        </w:rPr>
        <w:t>T</w:t>
      </w:r>
      <w:r w:rsidR="00851AB3" w:rsidRPr="00000478">
        <w:rPr>
          <w:rFonts w:ascii="Times New Roman" w:hAnsi="Times New Roman" w:cs="Times New Roman"/>
          <w:sz w:val="24"/>
          <w:szCs w:val="24"/>
        </w:rPr>
        <w:t xml:space="preserve">hough conventional solar cells based on silicon are produced from abundant raw materials, the high-temperature fabrication routes to single-crystal and polycrystalline silicon are very energy </w:t>
      </w:r>
      <w:r w:rsidR="00851AB3" w:rsidRPr="00000478">
        <w:rPr>
          <w:rFonts w:ascii="Times New Roman" w:hAnsi="Times New Roman" w:cs="Times New Roman"/>
          <w:sz w:val="24"/>
          <w:szCs w:val="24"/>
        </w:rPr>
        <w:lastRenderedPageBreak/>
        <w:t xml:space="preserve">intensive and expensive. The search for alternative solar cells has therefore focused on thin films composed of amorphous silicon and on compound semiconductor heterojunction cells based on semiconductors (e.g., cadmium telluride and copper indium </w:t>
      </w:r>
      <w:proofErr w:type="spellStart"/>
      <w:r w:rsidR="00851AB3" w:rsidRPr="00000478">
        <w:rPr>
          <w:rFonts w:ascii="Times New Roman" w:hAnsi="Times New Roman" w:cs="Times New Roman"/>
          <w:sz w:val="24"/>
          <w:szCs w:val="24"/>
        </w:rPr>
        <w:t>diselenide</w:t>
      </w:r>
      <w:proofErr w:type="spellEnd"/>
      <w:r w:rsidR="00851AB3" w:rsidRPr="00000478">
        <w:rPr>
          <w:rFonts w:ascii="Times New Roman" w:hAnsi="Times New Roman" w:cs="Times New Roman"/>
          <w:sz w:val="24"/>
          <w:szCs w:val="24"/>
        </w:rPr>
        <w:t>) that can be prepared by less energy-intensive and expensive routes. A key problem in optimizing the cost/efficiency ratio of such devices is that relatively pure materials are needed to ensure that the photo-excited carriers are efficiently collected in conventional planar solar cell device designs. The use of nanostructures offers an opportunity to circumvent this key limitation and therefore introduce a paradigm shift in the fabrication and design of solar energy conversion devices to produce either electricity or fuels.</w:t>
      </w:r>
    </w:p>
    <w:p w14:paraId="7F780863" w14:textId="77777777" w:rsidR="00851AB3" w:rsidRDefault="00851AB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CONCLUSION </w:t>
      </w:r>
    </w:p>
    <w:p w14:paraId="4B684D8A" w14:textId="33A5E343" w:rsidR="008B618D" w:rsidRPr="008B618D" w:rsidRDefault="008B618D" w:rsidP="008B618D">
      <w:pPr>
        <w:shd w:val="clear" w:color="auto" w:fill="FFFFFF"/>
        <w:spacing w:after="120" w:line="480" w:lineRule="auto"/>
        <w:rPr>
          <w:rFonts w:ascii="Times New Roman" w:eastAsia="Times New Roman" w:hAnsi="Times New Roman" w:cs="Times New Roman"/>
          <w:kern w:val="0"/>
          <w:sz w:val="24"/>
          <w:szCs w:val="24"/>
          <w14:ligatures w14:val="none"/>
        </w:rPr>
      </w:pPr>
      <w:bookmarkStart w:id="3" w:name="_Hlk198024909"/>
      <w:proofErr w:type="spellStart"/>
      <w:r w:rsidRPr="008B618D">
        <w:rPr>
          <w:rFonts w:ascii="Times New Roman" w:eastAsia="Times New Roman" w:hAnsi="Times New Roman" w:cs="Times New Roman"/>
          <w:color w:val="001D35"/>
          <w:kern w:val="0"/>
          <w:sz w:val="24"/>
          <w:szCs w:val="24"/>
          <w14:ligatures w14:val="none"/>
        </w:rPr>
        <w:t>Stannates</w:t>
      </w:r>
      <w:proofErr w:type="spellEnd"/>
      <w:r w:rsidRPr="008B618D">
        <w:rPr>
          <w:rFonts w:ascii="Times New Roman" w:eastAsia="Times New Roman" w:hAnsi="Times New Roman" w:cs="Times New Roman"/>
          <w:color w:val="001D35"/>
          <w:kern w:val="0"/>
          <w:sz w:val="24"/>
          <w:szCs w:val="24"/>
          <w14:ligatures w14:val="none"/>
        </w:rPr>
        <w:t xml:space="preserve"> and titanates, such as TiO2,</w:t>
      </w:r>
      <w:r w:rsidR="00824845">
        <w:rPr>
          <w:rFonts w:ascii="Times New Roman" w:eastAsia="Times New Roman" w:hAnsi="Times New Roman" w:cs="Times New Roman"/>
          <w:color w:val="001D35"/>
          <w:kern w:val="0"/>
          <w:sz w:val="24"/>
          <w:szCs w:val="24"/>
          <w14:ligatures w14:val="none"/>
        </w:rPr>
        <w:t xml:space="preserve"> </w:t>
      </w:r>
      <w:r w:rsidRPr="008B618D">
        <w:rPr>
          <w:rFonts w:ascii="Times New Roman" w:eastAsia="Times New Roman" w:hAnsi="Times New Roman" w:cs="Times New Roman"/>
          <w:color w:val="001D35"/>
          <w:kern w:val="0"/>
          <w:sz w:val="24"/>
          <w:szCs w:val="24"/>
          <w14:ligatures w14:val="none"/>
        </w:rPr>
        <w:t xml:space="preserve">ZnTiO3, BaSnO3 </w:t>
      </w:r>
      <w:proofErr w:type="spellStart"/>
      <w:r w:rsidRPr="008B618D">
        <w:rPr>
          <w:rFonts w:ascii="Times New Roman" w:eastAsia="Times New Roman" w:hAnsi="Times New Roman" w:cs="Times New Roman"/>
          <w:color w:val="001D35"/>
          <w:kern w:val="0"/>
          <w:sz w:val="24"/>
          <w:szCs w:val="24"/>
          <w14:ligatures w14:val="none"/>
        </w:rPr>
        <w:t>etc</w:t>
      </w:r>
      <w:proofErr w:type="spellEnd"/>
      <w:r w:rsidRPr="008B618D">
        <w:rPr>
          <w:rFonts w:ascii="Times New Roman" w:eastAsia="Times New Roman" w:hAnsi="Times New Roman" w:cs="Times New Roman"/>
          <w:color w:val="001D35"/>
          <w:kern w:val="0"/>
          <w:sz w:val="24"/>
          <w:szCs w:val="24"/>
          <w14:ligatures w14:val="none"/>
        </w:rPr>
        <w:t xml:space="preserve"> provide a porous surface for dye adsorption and act as the conductive material for electron transport. Their nanostructured surfaces increase the surface area available for dye adsorption, enhancing light capture. </w:t>
      </w:r>
      <w:bookmarkEnd w:id="3"/>
      <w:r w:rsidRPr="008B618D">
        <w:rPr>
          <w:rFonts w:ascii="Times New Roman" w:eastAsia="Times New Roman" w:hAnsi="Times New Roman" w:cs="Times New Roman"/>
          <w:color w:val="001D35"/>
          <w:kern w:val="0"/>
          <w:sz w:val="24"/>
          <w:szCs w:val="24"/>
          <w14:ligatures w14:val="none"/>
        </w:rPr>
        <w:t>The semiconductor properties of these materials facilitate efficient electron transfer, contributing to the overall efficiency of the DSSC. </w:t>
      </w:r>
    </w:p>
    <w:p w14:paraId="5626D8D8" w14:textId="72891855" w:rsidR="008B618D" w:rsidRPr="008B618D" w:rsidRDefault="008B618D" w:rsidP="008B618D">
      <w:pPr>
        <w:shd w:val="clear" w:color="auto" w:fill="FFFFFF"/>
        <w:spacing w:after="150" w:line="480" w:lineRule="auto"/>
        <w:rPr>
          <w:rFonts w:ascii="Times New Roman" w:hAnsi="Times New Roman" w:cs="Times New Roman"/>
          <w:sz w:val="24"/>
          <w:szCs w:val="24"/>
        </w:rPr>
      </w:pPr>
      <w:r w:rsidRPr="008B618D">
        <w:rPr>
          <w:rFonts w:ascii="Times New Roman" w:eastAsia="Times New Roman" w:hAnsi="Times New Roman" w:cs="Times New Roman"/>
          <w:color w:val="001D35"/>
          <w:kern w:val="0"/>
          <w:sz w:val="24"/>
          <w:szCs w:val="24"/>
          <w14:ligatures w14:val="none"/>
        </w:rPr>
        <w:t xml:space="preserve">In essence, local dyes act as the "eyes" of the DSSC, capturing sunlight, while </w:t>
      </w:r>
      <w:proofErr w:type="spellStart"/>
      <w:r w:rsidRPr="008B618D">
        <w:rPr>
          <w:rFonts w:ascii="Times New Roman" w:eastAsia="Times New Roman" w:hAnsi="Times New Roman" w:cs="Times New Roman"/>
          <w:color w:val="001D35"/>
          <w:kern w:val="0"/>
          <w:sz w:val="24"/>
          <w:szCs w:val="24"/>
          <w14:ligatures w14:val="none"/>
        </w:rPr>
        <w:t>stannates</w:t>
      </w:r>
      <w:proofErr w:type="spellEnd"/>
      <w:r w:rsidRPr="008B618D">
        <w:rPr>
          <w:rFonts w:ascii="Times New Roman" w:eastAsia="Times New Roman" w:hAnsi="Times New Roman" w:cs="Times New Roman"/>
          <w:color w:val="001D35"/>
          <w:kern w:val="0"/>
          <w:sz w:val="24"/>
          <w:szCs w:val="24"/>
          <w14:ligatures w14:val="none"/>
        </w:rPr>
        <w:t xml:space="preserve"> and titanates provide the "brain" and "body" for efficient electron</w:t>
      </w:r>
      <w:r>
        <w:rPr>
          <w:rFonts w:ascii="Times New Roman" w:eastAsia="Times New Roman" w:hAnsi="Times New Roman" w:cs="Times New Roman"/>
          <w:color w:val="001D35"/>
          <w:kern w:val="0"/>
          <w:sz w:val="24"/>
          <w:szCs w:val="24"/>
          <w14:ligatures w14:val="none"/>
        </w:rPr>
        <w:t>.</w:t>
      </w:r>
    </w:p>
    <w:p w14:paraId="3C50DD9F" w14:textId="77777777" w:rsidR="008B618D" w:rsidRDefault="008B618D" w:rsidP="00000478">
      <w:pPr>
        <w:shd w:val="clear" w:color="auto" w:fill="FFFFFF"/>
        <w:spacing w:after="150" w:line="480" w:lineRule="auto"/>
        <w:rPr>
          <w:rFonts w:ascii="Times New Roman" w:hAnsi="Times New Roman" w:cs="Times New Roman"/>
          <w:sz w:val="24"/>
          <w:szCs w:val="24"/>
        </w:rPr>
      </w:pPr>
    </w:p>
    <w:p w14:paraId="0DA1A240" w14:textId="77777777" w:rsidR="008B618D" w:rsidRDefault="008B618D" w:rsidP="00000478">
      <w:pPr>
        <w:shd w:val="clear" w:color="auto" w:fill="FFFFFF"/>
        <w:spacing w:after="150" w:line="480" w:lineRule="auto"/>
        <w:rPr>
          <w:rFonts w:ascii="Times New Roman" w:hAnsi="Times New Roman" w:cs="Times New Roman"/>
          <w:sz w:val="24"/>
          <w:szCs w:val="24"/>
        </w:rPr>
      </w:pPr>
    </w:p>
    <w:p w14:paraId="77168C61" w14:textId="77777777" w:rsidR="00824845" w:rsidRDefault="00824845" w:rsidP="00000478">
      <w:pPr>
        <w:shd w:val="clear" w:color="auto" w:fill="FFFFFF"/>
        <w:spacing w:after="150" w:line="480" w:lineRule="auto"/>
        <w:rPr>
          <w:rFonts w:ascii="Times New Roman" w:hAnsi="Times New Roman" w:cs="Times New Roman"/>
          <w:sz w:val="24"/>
          <w:szCs w:val="24"/>
        </w:rPr>
      </w:pPr>
    </w:p>
    <w:p w14:paraId="253C6986" w14:textId="77777777" w:rsidR="00824845" w:rsidRDefault="00824845" w:rsidP="00000478">
      <w:pPr>
        <w:shd w:val="clear" w:color="auto" w:fill="FFFFFF"/>
        <w:spacing w:after="150" w:line="480" w:lineRule="auto"/>
        <w:rPr>
          <w:rFonts w:ascii="Times New Roman" w:hAnsi="Times New Roman" w:cs="Times New Roman"/>
          <w:sz w:val="24"/>
          <w:szCs w:val="24"/>
        </w:rPr>
      </w:pPr>
    </w:p>
    <w:p w14:paraId="72AA3AF8" w14:textId="432C1800" w:rsidR="00A7297A" w:rsidRPr="00000478" w:rsidRDefault="00A7297A"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lastRenderedPageBreak/>
        <w:t>REFERENCES</w:t>
      </w:r>
    </w:p>
    <w:p w14:paraId="66D9E2A8"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Adedokun, O; Titilope, K; </w:t>
      </w:r>
      <w:proofErr w:type="spellStart"/>
      <w:r w:rsidRPr="00000478">
        <w:rPr>
          <w:rFonts w:ascii="Times New Roman" w:hAnsi="Times New Roman" w:cs="Times New Roman"/>
          <w:sz w:val="24"/>
          <w:szCs w:val="24"/>
        </w:rPr>
        <w:t>Awodugba</w:t>
      </w:r>
      <w:proofErr w:type="spellEnd"/>
      <w:r w:rsidRPr="00000478">
        <w:rPr>
          <w:rFonts w:ascii="Times New Roman" w:hAnsi="Times New Roman" w:cs="Times New Roman"/>
          <w:sz w:val="24"/>
          <w:szCs w:val="24"/>
        </w:rPr>
        <w:t xml:space="preserve">, AO (2016). Review on Natural Dye-Sensitized Solar Cells. Inter. J. Engineer. Technol. 2(2), 34-41. </w:t>
      </w:r>
    </w:p>
    <w:p w14:paraId="59F3E3FB"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proofErr w:type="spellStart"/>
      <w:r w:rsidRPr="00000478">
        <w:rPr>
          <w:rFonts w:ascii="Times New Roman" w:hAnsi="Times New Roman" w:cs="Times New Roman"/>
          <w:sz w:val="24"/>
          <w:szCs w:val="24"/>
        </w:rPr>
        <w:t>Chapain</w:t>
      </w:r>
      <w:proofErr w:type="spellEnd"/>
      <w:r w:rsidRPr="00000478">
        <w:rPr>
          <w:rFonts w:ascii="Times New Roman" w:hAnsi="Times New Roman" w:cs="Times New Roman"/>
          <w:sz w:val="24"/>
          <w:szCs w:val="24"/>
        </w:rPr>
        <w:t>, DM; Fuller, CS; Pearson, GL (2014). A new silicon p-n junction photocell for converting solar UKPENE, A. O; MORKA, J. C; MOLUA, O. C. Review on the Use of Dyestuff for Enhancement of Dye-Sensitized</w:t>
      </w:r>
      <w:proofErr w:type="gramStart"/>
      <w:r w:rsidRPr="00000478">
        <w:rPr>
          <w:rFonts w:ascii="Times New Roman" w:hAnsi="Times New Roman" w:cs="Times New Roman"/>
          <w:sz w:val="24"/>
          <w:szCs w:val="24"/>
        </w:rPr>
        <w:t>…..</w:t>
      </w:r>
      <w:proofErr w:type="gramEnd"/>
      <w:r w:rsidRPr="00000478">
        <w:rPr>
          <w:rFonts w:ascii="Times New Roman" w:hAnsi="Times New Roman" w:cs="Times New Roman"/>
          <w:sz w:val="24"/>
          <w:szCs w:val="24"/>
        </w:rPr>
        <w:t xml:space="preserve"> 1413 radiation into electrical power. J. Appl. Phys. 25: 676.</w:t>
      </w:r>
    </w:p>
    <w:p w14:paraId="08D5EEB0"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 Edoardo, B (2000). “Diffusion capacitance identification of PV cells”. Proc 16th European photovoltaic solar energy conference. ISBN 902916182, 1-5 May 2000, Glasgow, </w:t>
      </w:r>
      <w:proofErr w:type="spellStart"/>
      <w:r w:rsidRPr="00000478">
        <w:rPr>
          <w:rFonts w:ascii="Times New Roman" w:hAnsi="Times New Roman" w:cs="Times New Roman"/>
          <w:sz w:val="24"/>
          <w:szCs w:val="24"/>
        </w:rPr>
        <w:t>Uk</w:t>
      </w:r>
      <w:proofErr w:type="spellEnd"/>
      <w:r w:rsidRPr="00000478">
        <w:rPr>
          <w:rFonts w:ascii="Times New Roman" w:hAnsi="Times New Roman" w:cs="Times New Roman"/>
          <w:sz w:val="24"/>
          <w:szCs w:val="24"/>
        </w:rPr>
        <w:t>, pp.919 922.</w:t>
      </w:r>
    </w:p>
    <w:p w14:paraId="3863F275"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 </w:t>
      </w:r>
      <w:proofErr w:type="spellStart"/>
      <w:r w:rsidRPr="00000478">
        <w:rPr>
          <w:rFonts w:ascii="Times New Roman" w:hAnsi="Times New Roman" w:cs="Times New Roman"/>
          <w:sz w:val="24"/>
          <w:szCs w:val="24"/>
        </w:rPr>
        <w:t>Hagfeldt</w:t>
      </w:r>
      <w:proofErr w:type="spellEnd"/>
      <w:r w:rsidRPr="00000478">
        <w:rPr>
          <w:rFonts w:ascii="Times New Roman" w:hAnsi="Times New Roman" w:cs="Times New Roman"/>
          <w:sz w:val="24"/>
          <w:szCs w:val="24"/>
        </w:rPr>
        <w:t xml:space="preserve">, A; </w:t>
      </w:r>
      <w:proofErr w:type="spellStart"/>
      <w:r w:rsidRPr="00000478">
        <w:rPr>
          <w:rFonts w:ascii="Times New Roman" w:hAnsi="Times New Roman" w:cs="Times New Roman"/>
          <w:sz w:val="24"/>
          <w:szCs w:val="24"/>
        </w:rPr>
        <w:t>Gratzel</w:t>
      </w:r>
      <w:proofErr w:type="spellEnd"/>
      <w:r w:rsidRPr="00000478">
        <w:rPr>
          <w:rFonts w:ascii="Times New Roman" w:hAnsi="Times New Roman" w:cs="Times New Roman"/>
          <w:sz w:val="24"/>
          <w:szCs w:val="24"/>
        </w:rPr>
        <w:t>, M (1995). Light-induced redox reactions in nanocrystalline systems Chem. 95: 49-68.</w:t>
      </w:r>
    </w:p>
    <w:p w14:paraId="12630538"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 </w:t>
      </w:r>
      <w:proofErr w:type="spellStart"/>
      <w:r w:rsidRPr="00000478">
        <w:rPr>
          <w:rFonts w:ascii="Times New Roman" w:hAnsi="Times New Roman" w:cs="Times New Roman"/>
          <w:sz w:val="24"/>
          <w:szCs w:val="24"/>
        </w:rPr>
        <w:t>Hagfeldt</w:t>
      </w:r>
      <w:proofErr w:type="spellEnd"/>
      <w:r w:rsidRPr="00000478">
        <w:rPr>
          <w:rFonts w:ascii="Times New Roman" w:hAnsi="Times New Roman" w:cs="Times New Roman"/>
          <w:sz w:val="24"/>
          <w:szCs w:val="24"/>
        </w:rPr>
        <w:t xml:space="preserve">, A; </w:t>
      </w:r>
      <w:proofErr w:type="spellStart"/>
      <w:r w:rsidRPr="00000478">
        <w:rPr>
          <w:rFonts w:ascii="Times New Roman" w:hAnsi="Times New Roman" w:cs="Times New Roman"/>
          <w:sz w:val="24"/>
          <w:szCs w:val="24"/>
        </w:rPr>
        <w:t>Boschloo</w:t>
      </w:r>
      <w:proofErr w:type="spellEnd"/>
      <w:r w:rsidRPr="00000478">
        <w:rPr>
          <w:rFonts w:ascii="Times New Roman" w:hAnsi="Times New Roman" w:cs="Times New Roman"/>
          <w:sz w:val="24"/>
          <w:szCs w:val="24"/>
        </w:rPr>
        <w:t xml:space="preserve">, G; Sun, L; Kloo, L; Pettersson, H (2010). Dye sensitized solar cells. Chem. Rev. 110: 6595-6663. </w:t>
      </w:r>
    </w:p>
    <w:p w14:paraId="57E09B45"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Hara, K; Arakawa, H (2003). Dye-sensitized Solar Cells, In: Handbook of photovoltaic science and engineering. In. Luque, A; Hegedus, S (Ed.), John Wiley &amp; Sons, Ltd, ISBN: 0-471-49196-9.; pp.663-700. Haruna, I; Danladi, E; Gyuk, PM (2015). Development of organic dye sensitized solar cell incorporated with Ti02 nanostructures with low conversion efficiency for exploring solar energy concepts. Inter. J. Optoelectronic Engineer. 5(1): 16-19 </w:t>
      </w:r>
    </w:p>
    <w:p w14:paraId="5EB208D8"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proofErr w:type="spellStart"/>
      <w:r w:rsidRPr="00000478">
        <w:rPr>
          <w:rFonts w:ascii="Times New Roman" w:hAnsi="Times New Roman" w:cs="Times New Roman"/>
          <w:sz w:val="24"/>
          <w:szCs w:val="24"/>
        </w:rPr>
        <w:t>Lagref</w:t>
      </w:r>
      <w:proofErr w:type="spellEnd"/>
      <w:r w:rsidRPr="00000478">
        <w:rPr>
          <w:rFonts w:ascii="Times New Roman" w:hAnsi="Times New Roman" w:cs="Times New Roman"/>
          <w:sz w:val="24"/>
          <w:szCs w:val="24"/>
        </w:rPr>
        <w:t xml:space="preserve">, JJ; </w:t>
      </w:r>
      <w:proofErr w:type="spellStart"/>
      <w:r w:rsidRPr="00000478">
        <w:rPr>
          <w:rFonts w:ascii="Times New Roman" w:hAnsi="Times New Roman" w:cs="Times New Roman"/>
          <w:sz w:val="24"/>
          <w:szCs w:val="24"/>
        </w:rPr>
        <w:t>Nazeeruddin</w:t>
      </w:r>
      <w:proofErr w:type="spellEnd"/>
      <w:r w:rsidRPr="00000478">
        <w:rPr>
          <w:rFonts w:ascii="Times New Roman" w:hAnsi="Times New Roman" w:cs="Times New Roman"/>
          <w:sz w:val="24"/>
          <w:szCs w:val="24"/>
        </w:rPr>
        <w:t xml:space="preserve">, MK; </w:t>
      </w:r>
      <w:proofErr w:type="spellStart"/>
      <w:r w:rsidRPr="00000478">
        <w:rPr>
          <w:rFonts w:ascii="Times New Roman" w:hAnsi="Times New Roman" w:cs="Times New Roman"/>
          <w:sz w:val="24"/>
          <w:szCs w:val="24"/>
        </w:rPr>
        <w:t>Graetzel</w:t>
      </w:r>
      <w:proofErr w:type="spellEnd"/>
      <w:r w:rsidRPr="00000478">
        <w:rPr>
          <w:rFonts w:ascii="Times New Roman" w:hAnsi="Times New Roman" w:cs="Times New Roman"/>
          <w:sz w:val="24"/>
          <w:szCs w:val="24"/>
        </w:rPr>
        <w:t xml:space="preserve">, M (2008). Artificial photosynthesis based on </w:t>
      </w:r>
      <w:proofErr w:type="spellStart"/>
      <w:r w:rsidRPr="00000478">
        <w:rPr>
          <w:rFonts w:ascii="Times New Roman" w:hAnsi="Times New Roman" w:cs="Times New Roman"/>
          <w:sz w:val="24"/>
          <w:szCs w:val="24"/>
        </w:rPr>
        <w:t>dyesensitized</w:t>
      </w:r>
      <w:proofErr w:type="spellEnd"/>
      <w:r w:rsidRPr="00000478">
        <w:rPr>
          <w:rFonts w:ascii="Times New Roman" w:hAnsi="Times New Roman" w:cs="Times New Roman"/>
          <w:sz w:val="24"/>
          <w:szCs w:val="24"/>
        </w:rPr>
        <w:t xml:space="preserve"> nanocrystalline TiO2 solar cells. </w:t>
      </w:r>
      <w:proofErr w:type="spellStart"/>
      <w:r w:rsidRPr="00000478">
        <w:rPr>
          <w:rFonts w:ascii="Times New Roman" w:hAnsi="Times New Roman" w:cs="Times New Roman"/>
          <w:sz w:val="24"/>
          <w:szCs w:val="24"/>
        </w:rPr>
        <w:t>Inorganica</w:t>
      </w:r>
      <w:proofErr w:type="spellEnd"/>
      <w:r w:rsidRPr="00000478">
        <w:rPr>
          <w:rFonts w:ascii="Times New Roman" w:hAnsi="Times New Roman" w:cs="Times New Roman"/>
          <w:sz w:val="24"/>
          <w:szCs w:val="24"/>
        </w:rPr>
        <w:t xml:space="preserve"> </w:t>
      </w:r>
      <w:proofErr w:type="spellStart"/>
      <w:r w:rsidRPr="00000478">
        <w:rPr>
          <w:rFonts w:ascii="Times New Roman" w:hAnsi="Times New Roman" w:cs="Times New Roman"/>
          <w:sz w:val="24"/>
          <w:szCs w:val="24"/>
        </w:rPr>
        <w:t>Chimica</w:t>
      </w:r>
      <w:proofErr w:type="spellEnd"/>
      <w:r w:rsidRPr="00000478">
        <w:rPr>
          <w:rFonts w:ascii="Times New Roman" w:hAnsi="Times New Roman" w:cs="Times New Roman"/>
          <w:sz w:val="24"/>
          <w:szCs w:val="24"/>
        </w:rPr>
        <w:t xml:space="preserve"> Acta. 361(3): 735-745. </w:t>
      </w:r>
    </w:p>
    <w:p w14:paraId="72AE868F"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lastRenderedPageBreak/>
        <w:t xml:space="preserve">O’Regan, B; </w:t>
      </w:r>
      <w:proofErr w:type="spellStart"/>
      <w:r w:rsidRPr="00000478">
        <w:rPr>
          <w:rFonts w:ascii="Times New Roman" w:hAnsi="Times New Roman" w:cs="Times New Roman"/>
          <w:sz w:val="24"/>
          <w:szCs w:val="24"/>
        </w:rPr>
        <w:t>Gratzel</w:t>
      </w:r>
      <w:proofErr w:type="spellEnd"/>
      <w:r w:rsidRPr="00000478">
        <w:rPr>
          <w:rFonts w:ascii="Times New Roman" w:hAnsi="Times New Roman" w:cs="Times New Roman"/>
          <w:sz w:val="24"/>
          <w:szCs w:val="24"/>
        </w:rPr>
        <w:t>, M (1991). A Low-cost high efficiency solar cell based on dye-sensitized colloidal TiO2 films. Nature, 353: 737-740.</w:t>
      </w:r>
    </w:p>
    <w:p w14:paraId="50C71F3B" w14:textId="77777777" w:rsidR="00FC2D03" w:rsidRPr="00000478" w:rsidRDefault="00FC2D03" w:rsidP="00000478">
      <w:pPr>
        <w:shd w:val="clear" w:color="auto" w:fill="FFFFFF"/>
        <w:spacing w:after="150" w:line="480" w:lineRule="auto"/>
        <w:rPr>
          <w:rFonts w:ascii="Times New Roman" w:hAnsi="Times New Roman" w:cs="Times New Roman"/>
          <w:sz w:val="24"/>
          <w:szCs w:val="24"/>
        </w:rPr>
      </w:pPr>
      <w:r w:rsidRPr="00000478">
        <w:rPr>
          <w:rFonts w:ascii="Times New Roman" w:hAnsi="Times New Roman" w:cs="Times New Roman"/>
          <w:sz w:val="24"/>
          <w:szCs w:val="24"/>
        </w:rPr>
        <w:t xml:space="preserve">Smestad, GP; </w:t>
      </w:r>
      <w:proofErr w:type="spellStart"/>
      <w:r w:rsidRPr="00000478">
        <w:rPr>
          <w:rFonts w:ascii="Times New Roman" w:hAnsi="Times New Roman" w:cs="Times New Roman"/>
          <w:sz w:val="24"/>
          <w:szCs w:val="24"/>
        </w:rPr>
        <w:t>Gratzel</w:t>
      </w:r>
      <w:proofErr w:type="spellEnd"/>
      <w:r w:rsidRPr="00000478">
        <w:rPr>
          <w:rFonts w:ascii="Times New Roman" w:hAnsi="Times New Roman" w:cs="Times New Roman"/>
          <w:sz w:val="24"/>
          <w:szCs w:val="24"/>
        </w:rPr>
        <w:t xml:space="preserve">, M (1998). Demonstrating electron transfer and nanotechnology: A natural dye-sensitized nanocrystalline energy converter. J. Chem. Educ. 75(6): 752-756. Yella, A; Lee, HW; Tsao, HN; Yi, C; </w:t>
      </w:r>
      <w:proofErr w:type="spellStart"/>
      <w:r w:rsidRPr="00000478">
        <w:rPr>
          <w:rFonts w:ascii="Times New Roman" w:hAnsi="Times New Roman" w:cs="Times New Roman"/>
          <w:sz w:val="24"/>
          <w:szCs w:val="24"/>
        </w:rPr>
        <w:t>Chandiran</w:t>
      </w:r>
      <w:proofErr w:type="spellEnd"/>
      <w:r w:rsidRPr="00000478">
        <w:rPr>
          <w:rFonts w:ascii="Times New Roman" w:hAnsi="Times New Roman" w:cs="Times New Roman"/>
          <w:sz w:val="24"/>
          <w:szCs w:val="24"/>
        </w:rPr>
        <w:t xml:space="preserve">, AK; </w:t>
      </w:r>
      <w:proofErr w:type="spellStart"/>
      <w:r w:rsidRPr="00000478">
        <w:rPr>
          <w:rFonts w:ascii="Times New Roman" w:hAnsi="Times New Roman" w:cs="Times New Roman"/>
          <w:sz w:val="24"/>
          <w:szCs w:val="24"/>
        </w:rPr>
        <w:t>Nazeeruddin</w:t>
      </w:r>
      <w:proofErr w:type="spellEnd"/>
      <w:r w:rsidRPr="00000478">
        <w:rPr>
          <w:rFonts w:ascii="Times New Roman" w:hAnsi="Times New Roman" w:cs="Times New Roman"/>
          <w:sz w:val="24"/>
          <w:szCs w:val="24"/>
        </w:rPr>
        <w:t xml:space="preserve">, MK; Diau, EW- G; Yeh, C-Y; </w:t>
      </w:r>
      <w:proofErr w:type="spellStart"/>
      <w:r w:rsidRPr="00000478">
        <w:rPr>
          <w:rFonts w:ascii="Times New Roman" w:hAnsi="Times New Roman" w:cs="Times New Roman"/>
          <w:sz w:val="24"/>
          <w:szCs w:val="24"/>
        </w:rPr>
        <w:t>Zakeeruddin</w:t>
      </w:r>
      <w:proofErr w:type="spellEnd"/>
      <w:r w:rsidRPr="00000478">
        <w:rPr>
          <w:rFonts w:ascii="Times New Roman" w:hAnsi="Times New Roman" w:cs="Times New Roman"/>
          <w:sz w:val="24"/>
          <w:szCs w:val="24"/>
        </w:rPr>
        <w:t xml:space="preserve">, SM; </w:t>
      </w:r>
      <w:proofErr w:type="spellStart"/>
      <w:r w:rsidRPr="00000478">
        <w:rPr>
          <w:rFonts w:ascii="Times New Roman" w:hAnsi="Times New Roman" w:cs="Times New Roman"/>
          <w:sz w:val="24"/>
          <w:szCs w:val="24"/>
        </w:rPr>
        <w:t>Gratzel</w:t>
      </w:r>
      <w:proofErr w:type="spellEnd"/>
      <w:r w:rsidRPr="00000478">
        <w:rPr>
          <w:rFonts w:ascii="Times New Roman" w:hAnsi="Times New Roman" w:cs="Times New Roman"/>
          <w:sz w:val="24"/>
          <w:szCs w:val="24"/>
        </w:rPr>
        <w:t>, M (2011). Porphyrin synthesized solar cells with cobalt (II/III)- based redox electrolyte exceed 12percent efficiency. Sci 334, 629 Yen, CY;</w:t>
      </w:r>
    </w:p>
    <w:p w14:paraId="2D7DB4A9" w14:textId="6DE6F80E" w:rsidR="00FC2D03" w:rsidRPr="00000478" w:rsidRDefault="00FC2D03" w:rsidP="00000478">
      <w:pPr>
        <w:shd w:val="clear" w:color="auto" w:fill="FFFFFF"/>
        <w:spacing w:after="150" w:line="480" w:lineRule="auto"/>
        <w:rPr>
          <w:rFonts w:ascii="Times New Roman" w:eastAsia="Times New Roman" w:hAnsi="Times New Roman" w:cs="Times New Roman"/>
          <w:color w:val="001D35"/>
          <w:kern w:val="0"/>
          <w:sz w:val="24"/>
          <w:szCs w:val="24"/>
          <w14:ligatures w14:val="none"/>
        </w:rPr>
      </w:pPr>
      <w:r w:rsidRPr="00000478">
        <w:rPr>
          <w:rFonts w:ascii="Times New Roman" w:hAnsi="Times New Roman" w:cs="Times New Roman"/>
          <w:sz w:val="24"/>
          <w:szCs w:val="24"/>
        </w:rPr>
        <w:t xml:space="preserve"> </w:t>
      </w:r>
      <w:proofErr w:type="spellStart"/>
      <w:r w:rsidRPr="00000478">
        <w:rPr>
          <w:rFonts w:ascii="Times New Roman" w:hAnsi="Times New Roman" w:cs="Times New Roman"/>
          <w:sz w:val="24"/>
          <w:szCs w:val="24"/>
        </w:rPr>
        <w:t>Zakeeruddin</w:t>
      </w:r>
      <w:proofErr w:type="spellEnd"/>
      <w:r w:rsidRPr="00000478">
        <w:rPr>
          <w:rFonts w:ascii="Times New Roman" w:hAnsi="Times New Roman" w:cs="Times New Roman"/>
          <w:sz w:val="24"/>
          <w:szCs w:val="24"/>
        </w:rPr>
        <w:t xml:space="preserve">, SM; </w:t>
      </w:r>
      <w:proofErr w:type="spellStart"/>
      <w:r w:rsidRPr="00000478">
        <w:rPr>
          <w:rFonts w:ascii="Times New Roman" w:hAnsi="Times New Roman" w:cs="Times New Roman"/>
          <w:sz w:val="24"/>
          <w:szCs w:val="24"/>
        </w:rPr>
        <w:t>Gratzel</w:t>
      </w:r>
      <w:proofErr w:type="spellEnd"/>
      <w:r w:rsidRPr="00000478">
        <w:rPr>
          <w:rFonts w:ascii="Times New Roman" w:hAnsi="Times New Roman" w:cs="Times New Roman"/>
          <w:sz w:val="24"/>
          <w:szCs w:val="24"/>
        </w:rPr>
        <w:t>, M (2011). Porphyrin-sensitized solar cells with cobalt (</w:t>
      </w:r>
      <w:proofErr w:type="spellStart"/>
      <w:r w:rsidRPr="00000478">
        <w:rPr>
          <w:rFonts w:ascii="Times New Roman" w:hAnsi="Times New Roman" w:cs="Times New Roman"/>
          <w:sz w:val="24"/>
          <w:szCs w:val="24"/>
        </w:rPr>
        <w:t>ll</w:t>
      </w:r>
      <w:proofErr w:type="spellEnd"/>
      <w:r w:rsidRPr="00000478">
        <w:rPr>
          <w:rFonts w:ascii="Times New Roman" w:hAnsi="Times New Roman" w:cs="Times New Roman"/>
          <w:sz w:val="24"/>
          <w:szCs w:val="24"/>
        </w:rPr>
        <w:t>/</w:t>
      </w:r>
      <w:proofErr w:type="spellStart"/>
      <w:r w:rsidRPr="00000478">
        <w:rPr>
          <w:rFonts w:ascii="Times New Roman" w:hAnsi="Times New Roman" w:cs="Times New Roman"/>
          <w:sz w:val="24"/>
          <w:szCs w:val="24"/>
        </w:rPr>
        <w:t>lll</w:t>
      </w:r>
      <w:proofErr w:type="spellEnd"/>
      <w:r w:rsidRPr="00000478">
        <w:rPr>
          <w:rFonts w:ascii="Times New Roman" w:hAnsi="Times New Roman" w:cs="Times New Roman"/>
          <w:sz w:val="24"/>
          <w:szCs w:val="24"/>
        </w:rPr>
        <w:t>)-based redox electrolyte exceed 12 percent efficiency. Sci. 334:629-634.</w:t>
      </w:r>
    </w:p>
    <w:p w14:paraId="65E6450B" w14:textId="33EAB805" w:rsidR="00BD1100" w:rsidRPr="00000478" w:rsidRDefault="00BD1100" w:rsidP="00000478">
      <w:pPr>
        <w:shd w:val="clear" w:color="auto" w:fill="FFFFFF"/>
        <w:spacing w:after="0" w:line="480" w:lineRule="auto"/>
        <w:ind w:left="810"/>
        <w:rPr>
          <w:rFonts w:ascii="Times New Roman" w:eastAsia="Times New Roman" w:hAnsi="Times New Roman" w:cs="Times New Roman"/>
          <w:color w:val="545D7E"/>
          <w:spacing w:val="2"/>
          <w:kern w:val="0"/>
          <w:sz w:val="24"/>
          <w:szCs w:val="24"/>
          <w14:ligatures w14:val="none"/>
        </w:rPr>
      </w:pPr>
    </w:p>
    <w:sectPr w:rsidR="00BD1100" w:rsidRPr="00000478" w:rsidSect="00BD11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2035B7"/>
    <w:multiLevelType w:val="multilevel"/>
    <w:tmpl w:val="01F4250C"/>
    <w:lvl w:ilvl="0">
      <w:start w:val="1"/>
      <w:numFmt w:val="lowerLetter"/>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027EC6"/>
    <w:multiLevelType w:val="multilevel"/>
    <w:tmpl w:val="918E70D8"/>
    <w:lvl w:ilvl="0">
      <w:start w:val="1"/>
      <w:numFmt w:val="lowerLetter"/>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B24CB5"/>
    <w:multiLevelType w:val="multilevel"/>
    <w:tmpl w:val="8A36D656"/>
    <w:lvl w:ilvl="0">
      <w:start w:val="1"/>
      <w:numFmt w:val="lowerLetter"/>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D146DD"/>
    <w:multiLevelType w:val="multilevel"/>
    <w:tmpl w:val="8A36D656"/>
    <w:lvl w:ilvl="0">
      <w:start w:val="1"/>
      <w:numFmt w:val="lowerLetter"/>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44B3D17"/>
    <w:multiLevelType w:val="multilevel"/>
    <w:tmpl w:val="ACCCB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F22D63"/>
    <w:multiLevelType w:val="multilevel"/>
    <w:tmpl w:val="38EAF8AA"/>
    <w:lvl w:ilvl="0">
      <w:start w:val="1"/>
      <w:numFmt w:val="lowerLetter"/>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93420911">
    <w:abstractNumId w:val="0"/>
  </w:num>
  <w:num w:numId="2" w16cid:durableId="1685740163">
    <w:abstractNumId w:val="1"/>
  </w:num>
  <w:num w:numId="3" w16cid:durableId="1717967721">
    <w:abstractNumId w:val="5"/>
  </w:num>
  <w:num w:numId="4" w16cid:durableId="1388797298">
    <w:abstractNumId w:val="3"/>
  </w:num>
  <w:num w:numId="5" w16cid:durableId="1454443240">
    <w:abstractNumId w:val="4"/>
  </w:num>
  <w:num w:numId="6" w16cid:durableId="1144497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100"/>
    <w:rsid w:val="00000478"/>
    <w:rsid w:val="000047FB"/>
    <w:rsid w:val="00070342"/>
    <w:rsid w:val="000A6B5A"/>
    <w:rsid w:val="000C5AD5"/>
    <w:rsid w:val="001701C7"/>
    <w:rsid w:val="001903D9"/>
    <w:rsid w:val="001C6FD6"/>
    <w:rsid w:val="00475294"/>
    <w:rsid w:val="00824845"/>
    <w:rsid w:val="00851AB3"/>
    <w:rsid w:val="00876BFA"/>
    <w:rsid w:val="008B618D"/>
    <w:rsid w:val="00917843"/>
    <w:rsid w:val="00945606"/>
    <w:rsid w:val="00A7297A"/>
    <w:rsid w:val="00B44F31"/>
    <w:rsid w:val="00BD1100"/>
    <w:rsid w:val="00C44F8B"/>
    <w:rsid w:val="00FC2D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9545A"/>
  <w15:chartTrackingRefBased/>
  <w15:docId w15:val="{A0E0F9F8-ADB4-4A47-95CB-BF7A3F6DD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110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4F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9-3900-1055?lang=en" TargetMode="External"/><Relationship Id="rId13" Type="http://schemas.openxmlformats.org/officeDocument/2006/relationships/hyperlink" Target="https://orcid.org/0009-0009-3900-1055?lang=en" TargetMode="External"/><Relationship Id="rId3" Type="http://schemas.openxmlformats.org/officeDocument/2006/relationships/settings" Target="settings.xml"/><Relationship Id="rId7" Type="http://schemas.openxmlformats.org/officeDocument/2006/relationships/hyperlink" Target="https://orcid.org/0009-0009-3900-1055?lang=en" TargetMode="External"/><Relationship Id="rId12" Type="http://schemas.openxmlformats.org/officeDocument/2006/relationships/hyperlink" Target="https://orcid.org/0009-0009-3900-1055?lang=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9-0009-3900-1055?lang=en" TargetMode="External"/><Relationship Id="rId11" Type="http://schemas.openxmlformats.org/officeDocument/2006/relationships/hyperlink" Target="https://orcid.org/0009-0009-3900-1055?lang=en" TargetMode="External"/><Relationship Id="rId5" Type="http://schemas.openxmlformats.org/officeDocument/2006/relationships/hyperlink" Target="https://orcid.org/0009-0009-3900-1055?lang=en" TargetMode="External"/><Relationship Id="rId15" Type="http://schemas.openxmlformats.org/officeDocument/2006/relationships/theme" Target="theme/theme1.xml"/><Relationship Id="rId10" Type="http://schemas.openxmlformats.org/officeDocument/2006/relationships/hyperlink" Target="https://orcid.org/0009-0009-3900-1055?lang=en" TargetMode="External"/><Relationship Id="rId4" Type="http://schemas.openxmlformats.org/officeDocument/2006/relationships/webSettings" Target="webSettings.xml"/><Relationship Id="rId9" Type="http://schemas.openxmlformats.org/officeDocument/2006/relationships/hyperlink" Target="https://orcid.org/0009-0009-3900-1055?lang=e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154</TotalTime>
  <Pages>15</Pages>
  <Words>3766</Words>
  <Characters>21472</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2025-05-12T09:03:00Z</dcterms:created>
  <dcterms:modified xsi:type="dcterms:W3CDTF">2025-05-13T09:35:00Z</dcterms:modified>
</cp:coreProperties>
</file>